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0" w:after="240"/>
        <w:jc w:val="center"/>
      </w:pPr>
      <w:r>
        <w:rPr>
          <w:b/>
          <w:color w:val="1E4F72"/>
          <w:sz w:val="44"/>
        </w:rPr>
        <w:t>POLÍTICA DE SEGURIDAD DE LA INFORMACIÓN</w:t>
      </w:r>
    </w:p>
    <w:p>
      <w:pPr>
        <w:spacing w:after="120"/>
        <w:jc w:val="center"/>
      </w:pPr>
      <w:r>
        <w:rPr>
          <w:color w:val="555555"/>
          <w:sz w:val="26"/>
        </w:rPr>
        <w:t>Conforme a ISO/IEC 27001:2022 y Ley N° 21.719</w:t>
      </w:r>
    </w:p>
    <w:p>
      <w:pPr>
        <w:jc w:val="center"/>
      </w:pPr>
      <w:r>
        <w:rPr>
          <w:color w:val="555555"/>
          <w:sz w:val="22"/>
        </w:rPr>
        <w:t>Protección de Datos Personales — Chile</w:t>
      </w:r>
    </w:p>
    <w:p/>
    <w:p/>
    <w:tbl>
      <w:tblPr>
        <w:tblStyle w:val="TableGrid"/>
        <w:tblW w:type="auto" w:w="0"/>
        <w:jc w:val="center"/>
        <w:tblLook w:firstColumn="1" w:firstRow="1" w:lastColumn="0" w:lastRow="0" w:noHBand="0" w:noVBand="1" w:val="04A0"/>
      </w:tblPr>
      <w:tblGrid>
        <w:gridCol w:w="4561"/>
        <w:gridCol w:w="4561"/>
      </w:tblGrid>
      <w:tr>
        <w:tc>
          <w:tcPr>
            <w:tcW w:type="dxa" w:w="4561"/>
            <w:shd w:val="clear" w:color="auto" w:fill="D6EAF8"/>
          </w:tcPr>
          <w:p>
            <w:r>
              <w:rPr>
                <w:b/>
                <w:sz w:val="20"/>
              </w:rPr>
              <w:t>Organización:</w:t>
            </w:r>
          </w:p>
        </w:tc>
        <w:tc>
          <w:tcPr>
            <w:tcW w:type="dxa" w:w="4561"/>
          </w:tcPr>
          <w:p>
            <w:r>
              <w:rPr>
                <w:b w:val="0"/>
                <w:sz w:val="20"/>
              </w:rPr>
              <w:t>[Nombre de la organización]</w:t>
            </w:r>
          </w:p>
        </w:tc>
      </w:tr>
      <w:tr>
        <w:tc>
          <w:tcPr>
            <w:tcW w:type="dxa" w:w="4561"/>
            <w:shd w:val="clear" w:color="auto" w:fill="D6EAF8"/>
          </w:tcPr>
          <w:p>
            <w:r>
              <w:rPr>
                <w:b/>
                <w:sz w:val="20"/>
              </w:rPr>
              <w:t>Versión:</w:t>
            </w:r>
          </w:p>
        </w:tc>
        <w:tc>
          <w:tcPr>
            <w:tcW w:type="dxa" w:w="4561"/>
          </w:tcPr>
          <w:p>
            <w:r>
              <w:rPr>
                <w:b w:val="0"/>
                <w:sz w:val="20"/>
              </w:rPr>
              <w:t>1.0</w:t>
            </w:r>
          </w:p>
        </w:tc>
      </w:tr>
      <w:tr>
        <w:tc>
          <w:tcPr>
            <w:tcW w:type="dxa" w:w="4561"/>
            <w:shd w:val="clear" w:color="auto" w:fill="D6EAF8"/>
          </w:tcPr>
          <w:p>
            <w:r>
              <w:rPr>
                <w:b/>
                <w:sz w:val="20"/>
              </w:rPr>
              <w:t>Fecha de aprobación:</w:t>
            </w:r>
          </w:p>
        </w:tc>
        <w:tc>
          <w:tcPr>
            <w:tcW w:type="dxa" w:w="4561"/>
          </w:tcPr>
          <w:p>
            <w:r>
              <w:rPr>
                <w:b w:val="0"/>
                <w:sz w:val="20"/>
              </w:rPr>
              <w:t>[Fecha]</w:t>
            </w:r>
          </w:p>
        </w:tc>
      </w:tr>
      <w:tr>
        <w:tc>
          <w:tcPr>
            <w:tcW w:type="dxa" w:w="4561"/>
            <w:shd w:val="clear" w:color="auto" w:fill="D6EAF8"/>
          </w:tcPr>
          <w:p>
            <w:r>
              <w:rPr>
                <w:b/>
                <w:sz w:val="20"/>
              </w:rPr>
              <w:t>Aprobado por:</w:t>
            </w:r>
          </w:p>
        </w:tc>
        <w:tc>
          <w:tcPr>
            <w:tcW w:type="dxa" w:w="4561"/>
          </w:tcPr>
          <w:p>
            <w:r>
              <w:rPr>
                <w:b w:val="0"/>
                <w:sz w:val="20"/>
              </w:rPr>
              <w:t>[Nombre del Directorio / Gerente General]</w:t>
            </w:r>
          </w:p>
        </w:tc>
      </w:tr>
      <w:tr>
        <w:tc>
          <w:tcPr>
            <w:tcW w:type="dxa" w:w="4561"/>
            <w:shd w:val="clear" w:color="auto" w:fill="D6EAF8"/>
          </w:tcPr>
          <w:p>
            <w:r>
              <w:rPr>
                <w:b/>
                <w:sz w:val="20"/>
              </w:rPr>
              <w:t>Responsable:</w:t>
            </w:r>
          </w:p>
        </w:tc>
        <w:tc>
          <w:tcPr>
            <w:tcW w:type="dxa" w:w="4561"/>
          </w:tcPr>
          <w:p>
            <w:r>
              <w:rPr>
                <w:b w:val="0"/>
                <w:sz w:val="20"/>
              </w:rPr>
              <w:t>[CISO / Responsable de Seguridad]</w:t>
            </w:r>
          </w:p>
        </w:tc>
      </w:tr>
      <w:tr>
        <w:tc>
          <w:tcPr>
            <w:tcW w:type="dxa" w:w="4561"/>
            <w:shd w:val="clear" w:color="auto" w:fill="D6EAF8"/>
          </w:tcPr>
          <w:p>
            <w:r>
              <w:rPr>
                <w:b/>
                <w:sz w:val="20"/>
              </w:rPr>
              <w:t>Próxima revisión:</w:t>
            </w:r>
          </w:p>
        </w:tc>
        <w:tc>
          <w:tcPr>
            <w:tcW w:type="dxa" w:w="4561"/>
          </w:tcPr>
          <w:p>
            <w:r>
              <w:rPr>
                <w:b w:val="0"/>
                <w:sz w:val="20"/>
              </w:rPr>
              <w:t>[Fecha — máximo 1 año]</w:t>
            </w:r>
          </w:p>
        </w:tc>
      </w:tr>
    </w:tbl>
    <w:p>
      <w:r>
        <w:br w:type="page"/>
      </w:r>
    </w:p>
    <w:p>
      <w:pPr>
        <w:spacing w:before="360" w:after="120"/>
        <w:ind w:left="0"/>
        <w:pBdr>
          <w:bottom w:val="single" w:sz="6" w:space="4" w:color="1E4F72"/>
        </w:pBdr>
      </w:pPr>
      <w:r>
        <w:rPr>
          <w:b/>
          <w:color w:val="1E4F72"/>
          <w:sz w:val="30"/>
        </w:rPr>
        <w:t>ÍNDICE DE CONTENIDOS</w:t>
      </w:r>
    </w:p>
    <w:p>
      <w:pPr>
        <w:pStyle w:val="ListBullet"/>
        <w:spacing w:after="60"/>
        <w:ind w:left="283"/>
      </w:pPr>
      <w:r>
        <w:rPr>
          <w:sz w:val="20"/>
        </w:rPr>
        <w:t>1. Introducción y Propósito</w:t>
      </w:r>
    </w:p>
    <w:p>
      <w:pPr>
        <w:pStyle w:val="ListBullet"/>
        <w:spacing w:after="60"/>
        <w:ind w:left="283"/>
      </w:pPr>
      <w:r>
        <w:rPr>
          <w:sz w:val="20"/>
        </w:rPr>
        <w:t>2. Alcance</w:t>
      </w:r>
    </w:p>
    <w:p>
      <w:pPr>
        <w:pStyle w:val="ListBullet"/>
        <w:spacing w:after="60"/>
        <w:ind w:left="283"/>
      </w:pPr>
      <w:r>
        <w:rPr>
          <w:sz w:val="20"/>
        </w:rPr>
        <w:t>3. Referencias Normativas</w:t>
      </w:r>
    </w:p>
    <w:p>
      <w:pPr>
        <w:pStyle w:val="ListBullet"/>
        <w:spacing w:after="60"/>
        <w:ind w:left="283"/>
      </w:pPr>
      <w:r>
        <w:rPr>
          <w:sz w:val="20"/>
        </w:rPr>
        <w:t>4. Definiciones</w:t>
      </w:r>
    </w:p>
    <w:p>
      <w:pPr>
        <w:pStyle w:val="ListBullet"/>
        <w:spacing w:after="60"/>
        <w:ind w:left="283"/>
      </w:pPr>
      <w:r>
        <w:rPr>
          <w:sz w:val="20"/>
        </w:rPr>
        <w:t>5. Declaración de Política</w:t>
      </w:r>
    </w:p>
    <w:p>
      <w:pPr>
        <w:pStyle w:val="ListBullet"/>
        <w:spacing w:after="60"/>
        <w:ind w:left="283"/>
      </w:pPr>
      <w:r>
        <w:rPr>
          <w:sz w:val="20"/>
        </w:rPr>
        <w:t>6. Principios de Seguridad de la Información</w:t>
      </w:r>
    </w:p>
    <w:p>
      <w:pPr>
        <w:pStyle w:val="ListBullet"/>
        <w:spacing w:after="60"/>
        <w:ind w:left="283"/>
      </w:pPr>
      <w:r>
        <w:rPr>
          <w:sz w:val="20"/>
        </w:rPr>
        <w:t>7. Roles y Responsabilidades</w:t>
      </w:r>
    </w:p>
    <w:p>
      <w:pPr>
        <w:pStyle w:val="ListBullet"/>
        <w:spacing w:after="60"/>
        <w:ind w:left="283"/>
      </w:pPr>
      <w:r>
        <w:rPr>
          <w:sz w:val="20"/>
        </w:rPr>
        <w:t>8. Gestión de Riesgos</w:t>
      </w:r>
    </w:p>
    <w:p>
      <w:pPr>
        <w:pStyle w:val="ListBullet"/>
        <w:spacing w:after="60"/>
        <w:ind w:left="283"/>
      </w:pPr>
      <w:r>
        <w:rPr>
          <w:sz w:val="20"/>
        </w:rPr>
        <w:t>9. Clasificación de la Información</w:t>
      </w:r>
    </w:p>
    <w:p>
      <w:pPr>
        <w:pStyle w:val="ListBullet"/>
        <w:spacing w:after="60"/>
        <w:ind w:left="283"/>
      </w:pPr>
      <w:r>
        <w:rPr>
          <w:sz w:val="20"/>
        </w:rPr>
        <w:t>10. Control de Acceso</w:t>
      </w:r>
    </w:p>
    <w:p>
      <w:pPr>
        <w:pStyle w:val="ListBullet"/>
        <w:spacing w:after="60"/>
        <w:ind w:left="283"/>
      </w:pPr>
      <w:r>
        <w:rPr>
          <w:sz w:val="20"/>
        </w:rPr>
        <w:t>11. Seguridad en Recursos Humanos</w:t>
      </w:r>
    </w:p>
    <w:p>
      <w:pPr>
        <w:pStyle w:val="ListBullet"/>
        <w:spacing w:after="60"/>
        <w:ind w:left="283"/>
      </w:pPr>
      <w:r>
        <w:rPr>
          <w:sz w:val="20"/>
        </w:rPr>
        <w:t>12. Seguridad Física y del Entorno</w:t>
      </w:r>
    </w:p>
    <w:p>
      <w:pPr>
        <w:pStyle w:val="ListBullet"/>
        <w:spacing w:after="60"/>
        <w:ind w:left="283"/>
      </w:pPr>
      <w:r>
        <w:rPr>
          <w:sz w:val="20"/>
        </w:rPr>
        <w:t>13. Seguridad de las Operaciones</w:t>
      </w:r>
    </w:p>
    <w:p>
      <w:pPr>
        <w:pStyle w:val="ListBullet"/>
        <w:spacing w:after="60"/>
        <w:ind w:left="283"/>
      </w:pPr>
      <w:r>
        <w:rPr>
          <w:sz w:val="20"/>
        </w:rPr>
        <w:t>14. Seguridad en las Comunicaciones</w:t>
      </w:r>
    </w:p>
    <w:p>
      <w:pPr>
        <w:pStyle w:val="ListBullet"/>
        <w:spacing w:after="60"/>
        <w:ind w:left="283"/>
      </w:pPr>
      <w:r>
        <w:rPr>
          <w:sz w:val="20"/>
        </w:rPr>
        <w:t>15. Gestión de Incidentes</w:t>
      </w:r>
    </w:p>
    <w:p>
      <w:pPr>
        <w:pStyle w:val="ListBullet"/>
        <w:spacing w:after="60"/>
        <w:ind w:left="283"/>
      </w:pPr>
      <w:r>
        <w:rPr>
          <w:sz w:val="20"/>
        </w:rPr>
        <w:t>16. Continuidad del Negocio</w:t>
      </w:r>
    </w:p>
    <w:p>
      <w:pPr>
        <w:pStyle w:val="ListBullet"/>
        <w:spacing w:after="60"/>
        <w:ind w:left="283"/>
      </w:pPr>
      <w:r>
        <w:rPr>
          <w:sz w:val="20"/>
        </w:rPr>
        <w:t>17. Cumplimiento Legal — Ley 21.719</w:t>
      </w:r>
    </w:p>
    <w:p>
      <w:pPr>
        <w:pStyle w:val="ListBullet"/>
        <w:spacing w:after="60"/>
        <w:ind w:left="283"/>
      </w:pPr>
      <w:r>
        <w:rPr>
          <w:sz w:val="20"/>
        </w:rPr>
        <w:t>18. Sanciones por Incumplimiento</w:t>
      </w:r>
    </w:p>
    <w:p>
      <w:pPr>
        <w:pStyle w:val="ListBullet"/>
        <w:spacing w:after="60"/>
        <w:ind w:left="283"/>
      </w:pPr>
      <w:r>
        <w:rPr>
          <w:sz w:val="20"/>
        </w:rPr>
        <w:t>19. Revisión y Actualización</w:t>
      </w:r>
    </w:p>
    <w:p>
      <w:pPr>
        <w:pStyle w:val="ListBullet"/>
        <w:spacing w:after="60"/>
        <w:ind w:left="283"/>
      </w:pPr>
      <w:r>
        <w:rPr>
          <w:sz w:val="20"/>
        </w:rPr>
        <w:t>20. Historial de Versiones</w:t>
      </w:r>
    </w:p>
    <w:p>
      <w:r>
        <w:br w:type="page"/>
      </w:r>
    </w:p>
    <w:p>
      <w:pPr>
        <w:spacing w:before="360" w:after="120"/>
        <w:ind w:left="0"/>
        <w:pBdr>
          <w:bottom w:val="single" w:sz="6" w:space="4" w:color="1E4F72"/>
        </w:pBdr>
      </w:pPr>
      <w:r>
        <w:rPr>
          <w:b/>
          <w:color w:val="1E4F72"/>
          <w:sz w:val="30"/>
        </w:rPr>
        <w:t>1. INTRODUCCIÓN Y PROPÓSITO</w:t>
      </w:r>
    </w:p>
    <w:p>
      <w:pPr>
        <w:spacing w:after="120"/>
        <w:ind w:left="0"/>
      </w:pPr>
      <w:r>
        <w:rPr>
          <w:sz w:val="21"/>
        </w:rPr>
        <w:t>[NOMBRE DE LA ORGANIZACIÓN] (en adelante, "la Organización") reconoce que la información es uno de sus activos más valiosos y que su protección es fundamental para la continuidad operacional, el cumplimiento legal y la confianza de sus clientes, empleados y demás partes interesadas.</w:t>
      </w:r>
    </w:p>
    <w:p>
      <w:pPr>
        <w:spacing w:after="120"/>
        <w:ind w:left="0"/>
      </w:pPr>
      <w:r>
        <w:rPr>
          <w:sz w:val="21"/>
        </w:rPr>
        <w:t>La presente Política de Seguridad de la Información establece el marco general de gestión de la seguridad de la información al interior de la Organización, en conformidad con los requisitos de la norma ISO/IEC 27001:2022 y las obligaciones emanadas de la Ley N° 21.719 sobre Protección y Tratamiento de Datos Personales.</w:t>
      </w:r>
    </w:p>
    <w:p>
      <w:pPr>
        <w:spacing w:after="120"/>
        <w:ind w:left="0"/>
      </w:pPr>
      <w:r>
        <w:rPr>
          <w:sz w:val="21"/>
        </w:rPr>
        <w:t>El propósito de esta política es:</w:t>
      </w:r>
    </w:p>
    <w:p>
      <w:pPr>
        <w:pStyle w:val="ListBullet"/>
        <w:spacing w:after="60"/>
        <w:ind w:left="283"/>
      </w:pPr>
      <w:r>
        <w:rPr>
          <w:sz w:val="20"/>
        </w:rPr>
        <w:t>Proteger la confidencialidad, integridad y disponibilidad de la información.</w:t>
      </w:r>
    </w:p>
    <w:p>
      <w:pPr>
        <w:pStyle w:val="ListBullet"/>
        <w:spacing w:after="60"/>
        <w:ind w:left="283"/>
      </w:pPr>
      <w:r>
        <w:rPr>
          <w:sz w:val="20"/>
        </w:rPr>
        <w:t>Garantizar el cumplimiento de los requisitos legales, regulatorios y contractuales aplicables.</w:t>
      </w:r>
    </w:p>
    <w:p>
      <w:pPr>
        <w:pStyle w:val="ListBullet"/>
        <w:spacing w:after="60"/>
        <w:ind w:left="283"/>
      </w:pPr>
      <w:r>
        <w:rPr>
          <w:sz w:val="20"/>
        </w:rPr>
        <w:t>Gestionar los riesgos de seguridad de la información de forma proactiva y sistemática.</w:t>
      </w:r>
    </w:p>
    <w:p>
      <w:pPr>
        <w:pStyle w:val="ListBullet"/>
        <w:spacing w:after="60"/>
        <w:ind w:left="283"/>
      </w:pPr>
      <w:r>
        <w:rPr>
          <w:sz w:val="20"/>
        </w:rPr>
        <w:t>Establecer responsabilidades claras en materia de seguridad para todos los miembros de la organización.</w:t>
      </w:r>
    </w:p>
    <w:p>
      <w:pPr>
        <w:pStyle w:val="ListBullet"/>
        <w:spacing w:after="60"/>
        <w:ind w:left="283"/>
      </w:pPr>
      <w:r>
        <w:rPr>
          <w:sz w:val="20"/>
        </w:rPr>
        <w:t>Proteger los derechos de los titulares de datos personales conforme a la Ley 21.719.</w:t>
      </w:r>
    </w:p>
    <w:p>
      <w:pPr>
        <w:spacing w:before="360" w:after="120"/>
        <w:ind w:left="0"/>
        <w:pBdr>
          <w:bottom w:val="single" w:sz="6" w:space="4" w:color="1E4F72"/>
        </w:pBdr>
      </w:pPr>
      <w:r>
        <w:rPr>
          <w:b/>
          <w:color w:val="1E4F72"/>
          <w:sz w:val="30"/>
        </w:rPr>
        <w:t>2. ALCANCE</w:t>
      </w:r>
    </w:p>
    <w:p>
      <w:pPr>
        <w:spacing w:after="120"/>
        <w:ind w:left="0"/>
      </w:pPr>
      <w:r>
        <w:rPr>
          <w:sz w:val="21"/>
        </w:rPr>
        <w:t>Esta política aplica a:</w:t>
      </w:r>
    </w:p>
    <w:p>
      <w:pPr>
        <w:pStyle w:val="ListBullet"/>
        <w:spacing w:after="60"/>
        <w:ind w:left="283"/>
      </w:pPr>
      <w:r>
        <w:rPr>
          <w:sz w:val="20"/>
        </w:rPr>
        <w:t>Todos los empleados, directivos y contratistas de la Organización.</w:t>
      </w:r>
    </w:p>
    <w:p>
      <w:pPr>
        <w:pStyle w:val="ListBullet"/>
        <w:spacing w:after="60"/>
        <w:ind w:left="283"/>
      </w:pPr>
      <w:r>
        <w:rPr>
          <w:sz w:val="20"/>
        </w:rPr>
        <w:t>Todos los sistemas de información, redes, equipos y activos de información.</w:t>
      </w:r>
    </w:p>
    <w:p>
      <w:pPr>
        <w:pStyle w:val="ListBullet"/>
        <w:spacing w:after="60"/>
        <w:ind w:left="283"/>
      </w:pPr>
      <w:r>
        <w:rPr>
          <w:sz w:val="20"/>
        </w:rPr>
        <w:t>Todos los procesos de negocio que involucren tratamiento de información.</w:t>
      </w:r>
    </w:p>
    <w:p>
      <w:pPr>
        <w:pStyle w:val="ListBullet"/>
        <w:spacing w:after="60"/>
        <w:ind w:left="283"/>
      </w:pPr>
      <w:r>
        <w:rPr>
          <w:sz w:val="20"/>
        </w:rPr>
        <w:t>Todos los proveedores y terceros con acceso a sistemas o datos de la Organización.</w:t>
      </w:r>
    </w:p>
    <w:p>
      <w:pPr>
        <w:pStyle w:val="ListBullet"/>
        <w:spacing w:after="60"/>
        <w:ind w:left="283"/>
      </w:pPr>
      <w:r>
        <w:rPr>
          <w:sz w:val="20"/>
        </w:rPr>
        <w:t>Todas las instalaciones físicas donde se procese o almacene información.</w:t>
      </w:r>
    </w:p>
    <w:p>
      <w:pPr>
        <w:spacing w:before="120" w:after="120"/>
        <w:ind w:left="283"/>
        <w:shd w:val="clear" w:color="auto" w:fill="D6EAF8"/>
      </w:pPr>
      <w:r>
        <w:rPr>
          <w:i/>
          <w:color w:val="2980B9"/>
          <w:sz w:val="19"/>
        </w:rPr>
        <w:t>📌 El alcance debe revisarse anualmente o ante cambios organizativos significativos. Documentar exclusiones con su justificación.</w:t>
      </w:r>
    </w:p>
    <w:p>
      <w:pPr>
        <w:spacing w:before="360" w:after="120"/>
        <w:ind w:left="0"/>
        <w:pBdr>
          <w:bottom w:val="single" w:sz="6" w:space="4" w:color="1E4F72"/>
        </w:pBdr>
      </w:pPr>
      <w:r>
        <w:rPr>
          <w:b/>
          <w:color w:val="1E4F72"/>
          <w:sz w:val="30"/>
        </w:rPr>
        <w:t>3. REFERENCIAS NORMATIVAS</w:t>
      </w:r>
    </w:p>
    <w:p>
      <w:pPr>
        <w:pStyle w:val="ListBullet"/>
        <w:spacing w:after="60"/>
        <w:ind w:left="283"/>
      </w:pPr>
      <w:r>
        <w:rPr>
          <w:sz w:val="20"/>
        </w:rPr>
        <w:t>ISO/IEC 27001:2022 — Sistemas de Gestión de Seguridad de la Información</w:t>
      </w:r>
    </w:p>
    <w:p>
      <w:pPr>
        <w:pStyle w:val="ListBullet"/>
        <w:spacing w:after="60"/>
        <w:ind w:left="283"/>
      </w:pPr>
      <w:r>
        <w:rPr>
          <w:sz w:val="20"/>
        </w:rPr>
        <w:t>ISO/IEC 27002:2022 — Controles de Seguridad de la Información</w:t>
      </w:r>
    </w:p>
    <w:p>
      <w:pPr>
        <w:pStyle w:val="ListBullet"/>
        <w:spacing w:after="60"/>
        <w:ind w:left="283"/>
      </w:pPr>
      <w:r>
        <w:rPr>
          <w:sz w:val="20"/>
        </w:rPr>
        <w:t>ISO/IEC 27005:2022 — Gestión de Riesgos de Seguridad de la Información</w:t>
      </w:r>
    </w:p>
    <w:p>
      <w:pPr>
        <w:pStyle w:val="ListBullet"/>
        <w:spacing w:after="60"/>
        <w:ind w:left="283"/>
      </w:pPr>
      <w:r>
        <w:rPr>
          <w:sz w:val="20"/>
        </w:rPr>
        <w:t>Ley N° 21.719 — Protección y Tratamiento de Datos Personales (Chile, vigente 2026)</w:t>
      </w:r>
    </w:p>
    <w:p>
      <w:pPr>
        <w:pStyle w:val="ListBullet"/>
        <w:spacing w:after="60"/>
        <w:ind w:left="283"/>
      </w:pPr>
      <w:r>
        <w:rPr>
          <w:sz w:val="20"/>
        </w:rPr>
        <w:t>Ley N° 21.663 — Marco de Ciberseguridad e Infraestructura de la Información (Chile, 2025)</w:t>
      </w:r>
    </w:p>
    <w:p>
      <w:pPr>
        <w:pStyle w:val="ListBullet"/>
        <w:spacing w:after="60"/>
        <w:ind w:left="283"/>
      </w:pPr>
      <w:r>
        <w:rPr>
          <w:sz w:val="20"/>
        </w:rPr>
        <w:t>Reglamento ANCI — Obligaciones de notificación de incidentes críticos</w:t>
      </w:r>
    </w:p>
    <w:p>
      <w:pPr>
        <w:pStyle w:val="ListBullet"/>
        <w:spacing w:after="60"/>
        <w:ind w:left="283"/>
      </w:pPr>
      <w:r>
        <w:rPr>
          <w:sz w:val="20"/>
        </w:rPr>
        <w:t>NIST Cybersecurity Framework 2.0</w:t>
      </w:r>
    </w:p>
    <w:p>
      <w:pPr>
        <w:pStyle w:val="ListBullet"/>
        <w:spacing w:after="60"/>
        <w:ind w:left="283"/>
      </w:pPr>
      <w:r>
        <w:rPr>
          <w:sz w:val="20"/>
        </w:rPr>
        <w:t>CIS Controls v8 — Center for Internet Security</w:t>
      </w:r>
    </w:p>
    <w:p>
      <w:pPr>
        <w:spacing w:before="360" w:after="120"/>
        <w:ind w:left="0"/>
        <w:pBdr>
          <w:bottom w:val="single" w:sz="6" w:space="4" w:color="1E4F72"/>
        </w:pBdr>
      </w:pPr>
      <w:r>
        <w:rPr>
          <w:b/>
          <w:color w:val="1E4F72"/>
          <w:sz w:val="30"/>
        </w:rPr>
        <w:t>4. DEFINICIONES</w:t>
      </w:r>
    </w:p>
    <w:p>
      <w:pPr>
        <w:spacing w:after="80"/>
        <w:ind w:left="283"/>
      </w:pPr>
      <w:r>
        <w:rPr>
          <w:b/>
          <w:sz w:val="20"/>
        </w:rPr>
        <w:t xml:space="preserve">Activo de información: </w:t>
      </w:r>
      <w:r>
        <w:rPr>
          <w:sz w:val="20"/>
        </w:rPr>
        <w:t>Cualquier dato, sistema, proceso o elemento que tiene valor para la organización y que debe ser protegido.</w:t>
      </w:r>
    </w:p>
    <w:p>
      <w:pPr>
        <w:spacing w:after="80"/>
        <w:ind w:left="283"/>
      </w:pPr>
      <w:r>
        <w:rPr>
          <w:b/>
          <w:sz w:val="20"/>
        </w:rPr>
        <w:t xml:space="preserve">Confidencialidad: </w:t>
      </w:r>
      <w:r>
        <w:rPr>
          <w:sz w:val="20"/>
        </w:rPr>
        <w:t>Propiedad que garantiza que la información es accesible únicamente a personas autorizadas.</w:t>
      </w:r>
    </w:p>
    <w:p>
      <w:pPr>
        <w:spacing w:after="80"/>
        <w:ind w:left="283"/>
      </w:pPr>
      <w:r>
        <w:rPr>
          <w:b/>
          <w:sz w:val="20"/>
        </w:rPr>
        <w:t xml:space="preserve">Integridad: </w:t>
      </w:r>
      <w:r>
        <w:rPr>
          <w:sz w:val="20"/>
        </w:rPr>
        <w:t>Propiedad que salvaguarda la exactitud y completitud de la información y sus métodos de procesamiento.</w:t>
      </w:r>
    </w:p>
    <w:p>
      <w:pPr>
        <w:spacing w:after="80"/>
        <w:ind w:left="283"/>
      </w:pPr>
      <w:r>
        <w:rPr>
          <w:b/>
          <w:sz w:val="20"/>
        </w:rPr>
        <w:t xml:space="preserve">Disponibilidad: </w:t>
      </w:r>
      <w:r>
        <w:rPr>
          <w:sz w:val="20"/>
        </w:rPr>
        <w:t>Propiedad de ser accesible y utilizable cuando así lo requieran las personas autorizadas.</w:t>
      </w:r>
    </w:p>
    <w:p>
      <w:pPr>
        <w:spacing w:after="80"/>
        <w:ind w:left="283"/>
      </w:pPr>
      <w:r>
        <w:rPr>
          <w:b/>
          <w:sz w:val="20"/>
        </w:rPr>
        <w:t xml:space="preserve">Dato personal: </w:t>
      </w:r>
      <w:r>
        <w:rPr>
          <w:sz w:val="20"/>
        </w:rPr>
        <w:t>Cualquier información relacionada con una persona natural identificada o identificable (Art. 2 Ley 21.719).</w:t>
      </w:r>
    </w:p>
    <w:p>
      <w:pPr>
        <w:spacing w:after="80"/>
        <w:ind w:left="283"/>
      </w:pPr>
      <w:r>
        <w:rPr>
          <w:b/>
          <w:sz w:val="20"/>
        </w:rPr>
        <w:t xml:space="preserve">Dato sensible: </w:t>
      </w:r>
      <w:r>
        <w:rPr>
          <w:sz w:val="20"/>
        </w:rPr>
        <w:t>Categoría especial de datos que requiere protección reforzada: salud, biometría, origen étnico, etc. (Art. 16 Ley 21.719).</w:t>
      </w:r>
    </w:p>
    <w:p>
      <w:pPr>
        <w:spacing w:after="80"/>
        <w:ind w:left="283"/>
      </w:pPr>
      <w:r>
        <w:rPr>
          <w:b/>
          <w:sz w:val="20"/>
        </w:rPr>
        <w:t xml:space="preserve">Responsable del tratamiento: </w:t>
      </w:r>
      <w:r>
        <w:rPr>
          <w:sz w:val="20"/>
        </w:rPr>
        <w:t>Persona natural o jurídica que determina los fines y medios del tratamiento de datos personales.</w:t>
      </w:r>
    </w:p>
    <w:p>
      <w:pPr>
        <w:spacing w:after="80"/>
        <w:ind w:left="283"/>
      </w:pPr>
      <w:r>
        <w:rPr>
          <w:b/>
          <w:sz w:val="20"/>
        </w:rPr>
        <w:t xml:space="preserve">Encargado del tratamiento: </w:t>
      </w:r>
      <w:r>
        <w:rPr>
          <w:sz w:val="20"/>
        </w:rPr>
        <w:t>Tercero que trata datos por cuenta del responsable, sujeto a instrucciones contractuales.</w:t>
      </w:r>
    </w:p>
    <w:p>
      <w:pPr>
        <w:spacing w:after="80"/>
        <w:ind w:left="283"/>
      </w:pPr>
      <w:r>
        <w:rPr>
          <w:b/>
          <w:sz w:val="20"/>
        </w:rPr>
        <w:t xml:space="preserve">Titular: </w:t>
      </w:r>
      <w:r>
        <w:rPr>
          <w:sz w:val="20"/>
        </w:rPr>
        <w:t>Persona natural cuyos datos personales son objeto de tratamiento.</w:t>
      </w:r>
    </w:p>
    <w:p>
      <w:pPr>
        <w:spacing w:after="80"/>
        <w:ind w:left="283"/>
      </w:pPr>
      <w:r>
        <w:rPr>
          <w:b/>
          <w:sz w:val="20"/>
        </w:rPr>
        <w:t xml:space="preserve">Incidente de seguridad: </w:t>
      </w:r>
      <w:r>
        <w:rPr>
          <w:sz w:val="20"/>
        </w:rPr>
        <w:t>Evento que compromete la confidencialidad, integridad o disponibilidad de la información.</w:t>
      </w:r>
    </w:p>
    <w:p>
      <w:pPr>
        <w:spacing w:after="80"/>
        <w:ind w:left="283"/>
      </w:pPr>
      <w:r>
        <w:rPr>
          <w:b/>
          <w:sz w:val="20"/>
        </w:rPr>
        <w:t xml:space="preserve">Vulneración de seguridad: </w:t>
      </w:r>
      <w:r>
        <w:rPr>
          <w:sz w:val="20"/>
        </w:rPr>
        <w:t>Incidente que afecta datos personales — activa la obligación de notificación al CPLT (Art. 26 Ley 21.719).</w:t>
      </w:r>
    </w:p>
    <w:p>
      <w:pPr>
        <w:spacing w:after="80"/>
        <w:ind w:left="283"/>
      </w:pPr>
      <w:r>
        <w:rPr>
          <w:b/>
          <w:sz w:val="20"/>
        </w:rPr>
        <w:t xml:space="preserve">SGSI: </w:t>
      </w:r>
      <w:r>
        <w:rPr>
          <w:sz w:val="20"/>
        </w:rPr>
        <w:t>Sistema de Gestión de Seguridad de la Información — marco de políticas, procesos y controles.</w:t>
      </w:r>
    </w:p>
    <w:p>
      <w:pPr>
        <w:spacing w:after="80"/>
        <w:ind w:left="283"/>
      </w:pPr>
      <w:r>
        <w:rPr>
          <w:b/>
          <w:sz w:val="20"/>
        </w:rPr>
        <w:t xml:space="preserve">CISO: </w:t>
      </w:r>
      <w:r>
        <w:rPr>
          <w:sz w:val="20"/>
        </w:rPr>
        <w:t>Chief Information Security Officer — máximo responsable de seguridad de la información en la organización.</w:t>
      </w:r>
    </w:p>
    <w:p>
      <w:pPr>
        <w:spacing w:after="80"/>
        <w:ind w:left="283"/>
      </w:pPr>
      <w:r>
        <w:rPr>
          <w:b/>
          <w:sz w:val="20"/>
        </w:rPr>
        <w:t xml:space="preserve">DPO: </w:t>
      </w:r>
      <w:r>
        <w:rPr>
          <w:sz w:val="20"/>
        </w:rPr>
        <w:t>Data Protection Officer / Delegado de Protección de Datos — encargado de privacidad y cumplimiento Ley 21.719.</w:t>
      </w:r>
    </w:p>
    <w:p>
      <w:pPr>
        <w:spacing w:after="80"/>
        <w:ind w:left="283"/>
      </w:pPr>
      <w:r>
        <w:rPr>
          <w:b/>
          <w:sz w:val="20"/>
        </w:rPr>
        <w:t xml:space="preserve">CPLT: </w:t>
      </w:r>
      <w:r>
        <w:rPr>
          <w:sz w:val="20"/>
        </w:rPr>
        <w:t>Consejo para la Transparencia — autoridad de control en materia de protección de datos personales en Chile.</w:t>
      </w:r>
    </w:p>
    <w:p>
      <w:pPr>
        <w:spacing w:before="360" w:after="120"/>
        <w:ind w:left="0"/>
        <w:pBdr>
          <w:bottom w:val="single" w:sz="6" w:space="4" w:color="1E4F72"/>
        </w:pBdr>
      </w:pPr>
      <w:r>
        <w:rPr>
          <w:b/>
          <w:color w:val="1E4F72"/>
          <w:sz w:val="30"/>
        </w:rPr>
        <w:t>5. DECLARACIÓN DE POLÍTICA</w:t>
      </w:r>
    </w:p>
    <w:p>
      <w:pPr>
        <w:spacing w:after="120"/>
        <w:ind w:left="0"/>
      </w:pPr>
      <w:r>
        <w:rPr>
          <w:sz w:val="21"/>
        </w:rPr>
        <w:t>La alta dirección de [NOMBRE DE LA ORGANIZACIÓN] declara su compromiso con la protección de la información y la privacidad de datos personales como pilares estratégicos del negocio.</w:t>
      </w:r>
    </w:p>
    <w:p>
      <w:pPr>
        <w:spacing w:after="120"/>
        <w:ind w:left="0"/>
      </w:pPr>
      <w:r>
        <w:rPr>
          <w:sz w:val="21"/>
        </w:rPr>
        <w:t>Esta organización se compromete a:</w:t>
      </w:r>
    </w:p>
    <w:p>
      <w:pPr>
        <w:pStyle w:val="ListBullet"/>
        <w:spacing w:after="60"/>
        <w:ind w:left="283"/>
      </w:pPr>
      <w:r>
        <w:rPr>
          <w:sz w:val="20"/>
        </w:rPr>
        <w:t>Establecer, implementar, mantener y mejorar continuamente el Sistema de Gestión de Seguridad de la Información (SGSI), conforme a la norma ISO/IEC 27001:2022.</w:t>
      </w:r>
    </w:p>
    <w:p>
      <w:pPr>
        <w:pStyle w:val="ListBullet"/>
        <w:spacing w:after="60"/>
        <w:ind w:left="283"/>
      </w:pPr>
      <w:r>
        <w:rPr>
          <w:sz w:val="20"/>
        </w:rPr>
        <w:t>Cumplir con todas las disposiciones de la Ley N° 21.719 sobre Protección y Tratamiento de Datos Personales, garantizando los derechos de Acceso, Rectificación, Cancelación, Oposición y Portabilidad (ARCOP) de los titulares.</w:t>
      </w:r>
    </w:p>
    <w:p>
      <w:pPr>
        <w:pStyle w:val="ListBullet"/>
        <w:spacing w:after="60"/>
        <w:ind w:left="283"/>
      </w:pPr>
      <w:r>
        <w:rPr>
          <w:sz w:val="20"/>
        </w:rPr>
        <w:t>Asignar los recursos necesarios —humanos, tecnológicos y financieros— para garantizar la seguridad de la información.</w:t>
      </w:r>
    </w:p>
    <w:p>
      <w:pPr>
        <w:pStyle w:val="ListBullet"/>
        <w:spacing w:after="60"/>
        <w:ind w:left="283"/>
      </w:pPr>
      <w:r>
        <w:rPr>
          <w:sz w:val="20"/>
        </w:rPr>
        <w:t>Identificar, evaluar y tratar los riesgos de seguridad de la información de forma sistemática y documentada.</w:t>
      </w:r>
    </w:p>
    <w:p>
      <w:pPr>
        <w:pStyle w:val="ListBullet"/>
        <w:spacing w:after="60"/>
        <w:ind w:left="283"/>
      </w:pPr>
      <w:r>
        <w:rPr>
          <w:sz w:val="20"/>
        </w:rPr>
        <w:t>Capacitar continuamente a todo el personal en materia de seguridad de la información y privacidad.</w:t>
      </w:r>
    </w:p>
    <w:p>
      <w:pPr>
        <w:pStyle w:val="ListBullet"/>
        <w:spacing w:after="60"/>
        <w:ind w:left="283"/>
      </w:pPr>
      <w:r>
        <w:rPr>
          <w:sz w:val="20"/>
        </w:rPr>
        <w:t>Notificar las vulneraciones de seguridad que afecten datos personales al Consejo para la Transparencia dentro de las 72 horas desde que el responsable tome conocimiento (Art. 26 Ley 21.719).</w:t>
      </w:r>
    </w:p>
    <w:p>
      <w:pPr>
        <w:pStyle w:val="ListBullet"/>
        <w:spacing w:after="60"/>
        <w:ind w:left="283"/>
      </w:pPr>
      <w:r>
        <w:rPr>
          <w:sz w:val="20"/>
        </w:rPr>
        <w:t>Revisar esta política y el SGSI al menos una vez al año o ante cambios significativos en el contexto organizacional.</w:t>
      </w:r>
    </w:p>
    <w:p/>
    <w:p>
      <w:pPr>
        <w:jc w:val="right"/>
      </w:pPr>
      <w:r>
        <w:rPr>
          <w:i/>
          <w:sz w:val="20"/>
        </w:rPr>
        <w:t>[Firma de la Dirección General]</w:t>
        <w:br/>
        <w:t>[Nombre del Gerente General / Director]</w:t>
        <w:br/>
        <w:t>[Cargo]</w:t>
        <w:br/>
        <w:t>[Fecha]</w:t>
      </w:r>
    </w:p>
    <w:p>
      <w:pPr>
        <w:spacing w:before="360" w:after="120"/>
        <w:ind w:left="0"/>
        <w:pBdr>
          <w:bottom w:val="single" w:sz="6" w:space="4" w:color="1E4F72"/>
        </w:pBdr>
      </w:pPr>
      <w:r>
        <w:rPr>
          <w:b/>
          <w:color w:val="1E4F72"/>
          <w:sz w:val="30"/>
        </w:rPr>
        <w:t>6. PRINCIPIOS DE SEGURIDAD DE LA INFORMACIÓN</w:t>
      </w:r>
    </w:p>
    <w:p>
      <w:pPr>
        <w:spacing w:after="100"/>
        <w:ind w:left="283"/>
      </w:pPr>
      <w:r>
        <w:rPr>
          <w:b/>
          <w:color w:val="2980B9"/>
          <w:sz w:val="21"/>
        </w:rPr>
        <w:t xml:space="preserve">▸ Confidencialidad: </w:t>
      </w:r>
      <w:r>
        <w:rPr>
          <w:sz w:val="20"/>
        </w:rPr>
        <w:t>Solo las personas autorizadas acceden a la información según sus funciones y el principio de mínimo privilegio.</w:t>
      </w:r>
    </w:p>
    <w:p>
      <w:pPr>
        <w:spacing w:after="100"/>
        <w:ind w:left="283"/>
      </w:pPr>
      <w:r>
        <w:rPr>
          <w:b/>
          <w:color w:val="2980B9"/>
          <w:sz w:val="21"/>
        </w:rPr>
        <w:t xml:space="preserve">▸ Integridad: </w:t>
      </w:r>
      <w:r>
        <w:rPr>
          <w:sz w:val="20"/>
        </w:rPr>
        <w:t>La información es exacta, completa y protegida contra modificaciones no autorizadas.</w:t>
      </w:r>
    </w:p>
    <w:p>
      <w:pPr>
        <w:spacing w:after="100"/>
        <w:ind w:left="283"/>
      </w:pPr>
      <w:r>
        <w:rPr>
          <w:b/>
          <w:color w:val="2980B9"/>
          <w:sz w:val="21"/>
        </w:rPr>
        <w:t xml:space="preserve">▸ Disponibilidad: </w:t>
      </w:r>
      <w:r>
        <w:rPr>
          <w:sz w:val="20"/>
        </w:rPr>
        <w:t>La información y los sistemas están accesibles cuando los usuarios autorizados los necesitan.</w:t>
      </w:r>
    </w:p>
    <w:p>
      <w:pPr>
        <w:spacing w:after="100"/>
        <w:ind w:left="283"/>
      </w:pPr>
      <w:r>
        <w:rPr>
          <w:b/>
          <w:color w:val="2980B9"/>
          <w:sz w:val="21"/>
        </w:rPr>
        <w:t xml:space="preserve">▸ Autenticidad: </w:t>
      </w:r>
      <w:r>
        <w:rPr>
          <w:sz w:val="20"/>
        </w:rPr>
        <w:t>Se garantiza que la información proviene de fuentes legítimas y no ha sido alterada.</w:t>
      </w:r>
    </w:p>
    <w:p>
      <w:pPr>
        <w:spacing w:after="100"/>
        <w:ind w:left="283"/>
      </w:pPr>
      <w:r>
        <w:rPr>
          <w:b/>
          <w:color w:val="2980B9"/>
          <w:sz w:val="21"/>
        </w:rPr>
        <w:t xml:space="preserve">▸ No repudio: </w:t>
      </w:r>
      <w:r>
        <w:rPr>
          <w:sz w:val="20"/>
        </w:rPr>
        <w:t>Las acciones sobre la información quedan registradas de forma que no pueden ser negadas por su autor.</w:t>
      </w:r>
    </w:p>
    <w:p>
      <w:pPr>
        <w:spacing w:after="100"/>
        <w:ind w:left="283"/>
      </w:pPr>
      <w:r>
        <w:rPr>
          <w:b/>
          <w:color w:val="2980B9"/>
          <w:sz w:val="21"/>
        </w:rPr>
        <w:t xml:space="preserve">▸ Responsabilidad proactiva: </w:t>
      </w:r>
      <w:r>
        <w:rPr>
          <w:sz w:val="20"/>
        </w:rPr>
        <w:t>La organización puede demostrar en todo momento el cumplimiento de sus obligaciones de seguridad (accountability, Art. 14 quater Ley 21.719).</w:t>
      </w:r>
    </w:p>
    <w:p>
      <w:pPr>
        <w:spacing w:after="100"/>
        <w:ind w:left="283"/>
      </w:pPr>
      <w:r>
        <w:rPr>
          <w:b/>
          <w:color w:val="2980B9"/>
          <w:sz w:val="21"/>
        </w:rPr>
        <w:t xml:space="preserve">▸ Privacidad desde el diseño: </w:t>
      </w:r>
      <w:r>
        <w:rPr>
          <w:sz w:val="20"/>
        </w:rPr>
        <w:t>La protección de datos personales se incorpora desde el diseño de cualquier sistema, proceso o producto (privacy by design).</w:t>
      </w:r>
    </w:p>
    <w:p>
      <w:pPr>
        <w:spacing w:after="100"/>
        <w:ind w:left="283"/>
      </w:pPr>
      <w:r>
        <w:rPr>
          <w:b/>
          <w:color w:val="2980B9"/>
          <w:sz w:val="21"/>
        </w:rPr>
        <w:t xml:space="preserve">▸ Minimización de datos: </w:t>
      </w:r>
      <w:r>
        <w:rPr>
          <w:sz w:val="20"/>
        </w:rPr>
        <w:t>Solo se tratan los datos personales estrictamente necesarios para la finalidad declarada (Art. 3 lit. c Ley 21.719).</w:t>
      </w:r>
    </w:p>
    <w:p>
      <w:pPr>
        <w:spacing w:before="360" w:after="120"/>
        <w:ind w:left="0"/>
        <w:pBdr>
          <w:bottom w:val="single" w:sz="6" w:space="4" w:color="1E4F72"/>
        </w:pBdr>
      </w:pPr>
      <w:r>
        <w:rPr>
          <w:b/>
          <w:color w:val="1E4F72"/>
          <w:sz w:val="30"/>
        </w:rPr>
        <w:t>7. ROLES Y RESPONSABILIDADES</w:t>
      </w:r>
    </w:p>
    <w:p>
      <w:pPr>
        <w:spacing w:before="240" w:after="80"/>
      </w:pPr>
      <w:r>
        <w:rPr>
          <w:b/>
          <w:color w:val="2980B9"/>
          <w:sz w:val="24"/>
        </w:rPr>
        <w:t>7.1 Directorio / Alta Dirección</w:t>
      </w:r>
    </w:p>
    <w:p>
      <w:pPr>
        <w:pStyle w:val="ListBullet"/>
        <w:spacing w:after="60"/>
        <w:ind w:left="283"/>
      </w:pPr>
      <w:r>
        <w:rPr>
          <w:sz w:val="20"/>
        </w:rPr>
        <w:t>Aprobar la Política de Seguridad de la Información y sus revisiones.</w:t>
      </w:r>
    </w:p>
    <w:p>
      <w:pPr>
        <w:pStyle w:val="ListBullet"/>
        <w:spacing w:after="60"/>
        <w:ind w:left="283"/>
      </w:pPr>
      <w:r>
        <w:rPr>
          <w:sz w:val="20"/>
        </w:rPr>
        <w:t>Proveer los recursos necesarios para la operación del SGSI.</w:t>
      </w:r>
    </w:p>
    <w:p>
      <w:pPr>
        <w:pStyle w:val="ListBullet"/>
        <w:spacing w:after="60"/>
        <w:ind w:left="283"/>
      </w:pPr>
      <w:r>
        <w:rPr>
          <w:sz w:val="20"/>
        </w:rPr>
        <w:t>Revisar el desempeño del SGSI al menos una vez al año.</w:t>
      </w:r>
    </w:p>
    <w:p>
      <w:pPr>
        <w:pStyle w:val="ListBullet"/>
        <w:spacing w:after="60"/>
        <w:ind w:left="283"/>
      </w:pPr>
      <w:r>
        <w:rPr>
          <w:sz w:val="20"/>
        </w:rPr>
        <w:t>Autorizar el tratamiento de datos sensibles cuando corresponda.</w:t>
      </w:r>
    </w:p>
    <w:p>
      <w:pPr>
        <w:spacing w:before="240" w:after="80"/>
      </w:pPr>
      <w:r>
        <w:rPr>
          <w:b/>
          <w:color w:val="2980B9"/>
          <w:sz w:val="24"/>
        </w:rPr>
        <w:t>7.2 CISO — Chief Information Security Officer</w:t>
      </w:r>
    </w:p>
    <w:p>
      <w:pPr>
        <w:pStyle w:val="ListBullet"/>
        <w:spacing w:after="60"/>
        <w:ind w:left="283"/>
      </w:pPr>
      <w:r>
        <w:rPr>
          <w:sz w:val="20"/>
        </w:rPr>
        <w:t>Liderar la implementación y operación del SGSI.</w:t>
      </w:r>
    </w:p>
    <w:p>
      <w:pPr>
        <w:pStyle w:val="ListBullet"/>
        <w:spacing w:after="60"/>
        <w:ind w:left="283"/>
      </w:pPr>
      <w:r>
        <w:rPr>
          <w:sz w:val="20"/>
        </w:rPr>
        <w:t>Gestionar la evaluación y tratamiento de riesgos de seguridad.</w:t>
      </w:r>
    </w:p>
    <w:p>
      <w:pPr>
        <w:pStyle w:val="ListBullet"/>
        <w:spacing w:after="60"/>
        <w:ind w:left="283"/>
      </w:pPr>
      <w:r>
        <w:rPr>
          <w:sz w:val="20"/>
        </w:rPr>
        <w:t>Coordinar la respuesta ante incidentes de seguridad.</w:t>
      </w:r>
    </w:p>
    <w:p>
      <w:pPr>
        <w:pStyle w:val="ListBullet"/>
        <w:spacing w:after="60"/>
        <w:ind w:left="283"/>
      </w:pPr>
      <w:r>
        <w:rPr>
          <w:sz w:val="20"/>
        </w:rPr>
        <w:t>Reportar el estado del SGSI a la alta dirección.</w:t>
      </w:r>
    </w:p>
    <w:p>
      <w:pPr>
        <w:pStyle w:val="ListBullet"/>
        <w:spacing w:after="60"/>
        <w:ind w:left="283"/>
      </w:pPr>
      <w:r>
        <w:rPr>
          <w:sz w:val="20"/>
        </w:rPr>
        <w:t>Supervisar el programa de capacitación en ciberseguridad.</w:t>
      </w:r>
    </w:p>
    <w:p>
      <w:pPr>
        <w:spacing w:before="240" w:after="80"/>
      </w:pPr>
      <w:r>
        <w:rPr>
          <w:b/>
          <w:color w:val="2980B9"/>
          <w:sz w:val="24"/>
        </w:rPr>
        <w:t>7.3 DPO — Delegado de Protección de Datos</w:t>
      </w:r>
    </w:p>
    <w:p>
      <w:pPr>
        <w:pStyle w:val="ListBullet"/>
        <w:spacing w:after="60"/>
        <w:ind w:left="283"/>
      </w:pPr>
      <w:r>
        <w:rPr>
          <w:sz w:val="20"/>
        </w:rPr>
        <w:t>Supervisar el cumplimiento de la Ley 21.719.</w:t>
      </w:r>
    </w:p>
    <w:p>
      <w:pPr>
        <w:pStyle w:val="ListBullet"/>
        <w:spacing w:after="60"/>
        <w:ind w:left="283"/>
      </w:pPr>
      <w:r>
        <w:rPr>
          <w:sz w:val="20"/>
        </w:rPr>
        <w:t>Mantener actualizado el Registro de Actividades de Tratamiento (RAT).</w:t>
      </w:r>
    </w:p>
    <w:p>
      <w:pPr>
        <w:pStyle w:val="ListBullet"/>
        <w:spacing w:after="60"/>
        <w:ind w:left="283"/>
      </w:pPr>
      <w:r>
        <w:rPr>
          <w:sz w:val="20"/>
        </w:rPr>
        <w:t>Atender las solicitudes de derechos ARCOP de los titulares.</w:t>
      </w:r>
    </w:p>
    <w:p>
      <w:pPr>
        <w:pStyle w:val="ListBullet"/>
        <w:spacing w:after="60"/>
        <w:ind w:left="283"/>
      </w:pPr>
      <w:r>
        <w:rPr>
          <w:sz w:val="20"/>
        </w:rPr>
        <w:t>Gestionar la notificación de vulneraciones al CPLT dentro de las 72 horas.</w:t>
      </w:r>
    </w:p>
    <w:p>
      <w:pPr>
        <w:pStyle w:val="ListBullet"/>
        <w:spacing w:after="60"/>
        <w:ind w:left="283"/>
      </w:pPr>
      <w:r>
        <w:rPr>
          <w:sz w:val="20"/>
        </w:rPr>
        <w:t>Realizar evaluaciones de impacto en la privacidad (DPIA/EIPD).</w:t>
      </w:r>
    </w:p>
    <w:p>
      <w:pPr>
        <w:spacing w:before="240" w:after="80"/>
      </w:pPr>
      <w:r>
        <w:rPr>
          <w:b/>
          <w:color w:val="2980B9"/>
          <w:sz w:val="24"/>
        </w:rPr>
        <w:t>7.4 Jefes de Área y Gerentes</w:t>
      </w:r>
    </w:p>
    <w:p>
      <w:pPr>
        <w:pStyle w:val="ListBullet"/>
        <w:spacing w:after="60"/>
        <w:ind w:left="283"/>
      </w:pPr>
      <w:r>
        <w:rPr>
          <w:sz w:val="20"/>
        </w:rPr>
        <w:t>Garantizar que su equipo cumpla con la política de seguridad.</w:t>
      </w:r>
    </w:p>
    <w:p>
      <w:pPr>
        <w:pStyle w:val="ListBullet"/>
        <w:spacing w:after="60"/>
        <w:ind w:left="283"/>
      </w:pPr>
      <w:r>
        <w:rPr>
          <w:sz w:val="20"/>
        </w:rPr>
        <w:t>Reportar incidentes de seguridad al CISO sin demora.</w:t>
      </w:r>
    </w:p>
    <w:p>
      <w:pPr>
        <w:pStyle w:val="ListBullet"/>
        <w:spacing w:after="60"/>
        <w:ind w:left="283"/>
      </w:pPr>
      <w:r>
        <w:rPr>
          <w:sz w:val="20"/>
        </w:rPr>
        <w:t>Gestionar el acceso de sus colaboradores según el principio de mínimo privilegio.</w:t>
      </w:r>
    </w:p>
    <w:p>
      <w:pPr>
        <w:spacing w:before="240" w:after="80"/>
      </w:pPr>
      <w:r>
        <w:rPr>
          <w:b/>
          <w:color w:val="2980B9"/>
          <w:sz w:val="24"/>
        </w:rPr>
        <w:t>7.5 Todos los Empleados y Contratistas</w:t>
      </w:r>
    </w:p>
    <w:p>
      <w:pPr>
        <w:pStyle w:val="ListBullet"/>
        <w:spacing w:after="60"/>
        <w:ind w:left="283"/>
      </w:pPr>
      <w:r>
        <w:rPr>
          <w:sz w:val="20"/>
        </w:rPr>
        <w:t>Cumplir con esta política y los procedimientos de seguridad vigentes.</w:t>
      </w:r>
    </w:p>
    <w:p>
      <w:pPr>
        <w:pStyle w:val="ListBullet"/>
        <w:spacing w:after="60"/>
        <w:ind w:left="283"/>
      </w:pPr>
      <w:r>
        <w:rPr>
          <w:sz w:val="20"/>
        </w:rPr>
        <w:t>Reportar cualquier evento o sospecha de incidente de seguridad.</w:t>
      </w:r>
    </w:p>
    <w:p>
      <w:pPr>
        <w:pStyle w:val="ListBullet"/>
        <w:spacing w:after="60"/>
        <w:ind w:left="283"/>
      </w:pPr>
      <w:r>
        <w:rPr>
          <w:sz w:val="20"/>
        </w:rPr>
        <w:t>Completar los programas de capacitación obligatorios en ciberseguridad.</w:t>
      </w:r>
    </w:p>
    <w:p>
      <w:pPr>
        <w:pStyle w:val="ListBullet"/>
        <w:spacing w:after="60"/>
        <w:ind w:left="283"/>
      </w:pPr>
      <w:r>
        <w:rPr>
          <w:sz w:val="20"/>
        </w:rPr>
        <w:t>Proteger las credenciales de acceso y no compartirlas bajo ninguna circunstancia.</w:t>
      </w:r>
    </w:p>
    <w:p>
      <w:pPr>
        <w:pStyle w:val="ListBullet"/>
        <w:spacing w:after="60"/>
        <w:ind w:left="283"/>
      </w:pPr>
      <w:r>
        <w:rPr>
          <w:sz w:val="20"/>
        </w:rPr>
        <w:t>Aplicar la política de escritorio limpio y pantalla limpia.</w:t>
      </w:r>
    </w:p>
    <w:p>
      <w:pPr>
        <w:spacing w:before="360" w:after="120"/>
        <w:ind w:left="0"/>
        <w:pBdr>
          <w:bottom w:val="single" w:sz="6" w:space="4" w:color="1E4F72"/>
        </w:pBdr>
      </w:pPr>
      <w:r>
        <w:rPr>
          <w:b/>
          <w:color w:val="1E4F72"/>
          <w:sz w:val="30"/>
        </w:rPr>
        <w:t>8. GESTIÓN DE RIESGOS</w:t>
      </w:r>
    </w:p>
    <w:p>
      <w:pPr>
        <w:spacing w:after="120"/>
        <w:ind w:left="0"/>
      </w:pPr>
      <w:r>
        <w:rPr>
          <w:sz w:val="21"/>
        </w:rPr>
        <w:t>La Organización gestiona los riesgos de seguridad de la información mediante un proceso formal basado en ISO/IEC 27005:2022, que incluye:</w:t>
      </w:r>
    </w:p>
    <w:p>
      <w:pPr>
        <w:pStyle w:val="ListBullet"/>
        <w:spacing w:after="60"/>
        <w:ind w:left="283"/>
      </w:pPr>
      <w:r>
        <w:rPr>
          <w:sz w:val="20"/>
        </w:rPr>
        <w:t>Identificación y valoración de activos de información.</w:t>
      </w:r>
    </w:p>
    <w:p>
      <w:pPr>
        <w:pStyle w:val="ListBullet"/>
        <w:spacing w:after="60"/>
        <w:ind w:left="283"/>
      </w:pPr>
      <w:r>
        <w:rPr>
          <w:sz w:val="20"/>
        </w:rPr>
        <w:t>Identificación de amenazas, vulnerabilidades y escenarios de riesgo.</w:t>
      </w:r>
    </w:p>
    <w:p>
      <w:pPr>
        <w:pStyle w:val="ListBullet"/>
        <w:spacing w:after="60"/>
        <w:ind w:left="283"/>
      </w:pPr>
      <w:r>
        <w:rPr>
          <w:sz w:val="20"/>
        </w:rPr>
        <w:t>Evaluación del riesgo mediante la fórmula: Riesgo = Probabilidad × Impacto.</w:t>
      </w:r>
    </w:p>
    <w:p>
      <w:pPr>
        <w:pStyle w:val="ListBullet"/>
        <w:spacing w:after="60"/>
        <w:ind w:left="283"/>
      </w:pPr>
      <w:r>
        <w:rPr>
          <w:sz w:val="20"/>
        </w:rPr>
        <w:t>Selección de opciones de tratamiento: mitigar, aceptar, transferir o evitar.</w:t>
      </w:r>
    </w:p>
    <w:p>
      <w:pPr>
        <w:pStyle w:val="ListBullet"/>
        <w:spacing w:after="60"/>
        <w:ind w:left="283"/>
      </w:pPr>
      <w:r>
        <w:rPr>
          <w:sz w:val="20"/>
        </w:rPr>
        <w:t>Implementación de controles y seguimiento de la eficacia.</w:t>
      </w:r>
    </w:p>
    <w:p>
      <w:pPr>
        <w:pStyle w:val="ListBullet"/>
        <w:spacing w:after="60"/>
        <w:ind w:left="283"/>
      </w:pPr>
      <w:r>
        <w:rPr>
          <w:sz w:val="20"/>
        </w:rPr>
        <w:t>Revisión periódica de la matriz de riesgos (mínimo anual).</w:t>
      </w:r>
    </w:p>
    <w:p>
      <w:pPr>
        <w:spacing w:before="120" w:after="120"/>
        <w:ind w:left="283"/>
        <w:shd w:val="clear" w:color="auto" w:fill="D6EAF8"/>
      </w:pPr>
      <w:r>
        <w:rPr>
          <w:i/>
          <w:color w:val="2980B9"/>
          <w:sz w:val="19"/>
        </w:rPr>
        <w:t>📌 Los riesgos calificados como CRÍTICO o ALTO requieren plan de tratamiento con plazo máximo de 90 días y reporte a la alta dirección.</w:t>
      </w:r>
    </w:p>
    <w:p>
      <w:pPr>
        <w:spacing w:before="360" w:after="120"/>
        <w:ind w:left="0"/>
        <w:pBdr>
          <w:bottom w:val="single" w:sz="6" w:space="4" w:color="1E4F72"/>
        </w:pBdr>
      </w:pPr>
      <w:r>
        <w:rPr>
          <w:b/>
          <w:color w:val="1E4F72"/>
          <w:sz w:val="30"/>
        </w:rPr>
        <w:t>9. CLASIFICACIÓN DE LA INFORMACIÓN</w:t>
      </w:r>
    </w:p>
    <w:p>
      <w:pPr>
        <w:spacing w:after="120"/>
        <w:ind w:left="0"/>
      </w:pPr>
      <w:r>
        <w:rPr>
          <w:sz w:val="21"/>
        </w:rPr>
        <w:t>Toda la información de la Organización debe clasificarse en una de las siguientes categorías:</w:t>
      </w:r>
    </w:p>
    <w:p>
      <w:pPr>
        <w:spacing w:after="80"/>
        <w:ind w:left="283"/>
      </w:pPr>
      <w:r>
        <w:rPr>
          <w:b/>
          <w:sz w:val="21"/>
        </w:rPr>
        <w:t xml:space="preserve">[PÚBLICO]: </w:t>
      </w:r>
      <w:r>
        <w:rPr>
          <w:sz w:val="20"/>
        </w:rPr>
        <w:t>Información que puede divulgarse libremente sin restricciones.</w:t>
      </w:r>
    </w:p>
    <w:p>
      <w:pPr>
        <w:spacing w:after="80"/>
        <w:ind w:left="283"/>
      </w:pPr>
      <w:r>
        <w:rPr>
          <w:b/>
          <w:sz w:val="21"/>
        </w:rPr>
        <w:t xml:space="preserve">[INTERNO]: </w:t>
      </w:r>
      <w:r>
        <w:rPr>
          <w:sz w:val="20"/>
        </w:rPr>
        <w:t>Información de uso interno; no se divulga fuera de la organización sin autorización.</w:t>
      </w:r>
    </w:p>
    <w:p>
      <w:pPr>
        <w:spacing w:after="80"/>
        <w:ind w:left="283"/>
      </w:pPr>
      <w:r>
        <w:rPr>
          <w:b/>
          <w:sz w:val="21"/>
        </w:rPr>
        <w:t xml:space="preserve">[CONFIDENCIAL]: </w:t>
      </w:r>
      <w:r>
        <w:rPr>
          <w:sz w:val="20"/>
        </w:rPr>
        <w:t>Información sensible que requiere controles de acceso y cifrado. Incluye datos personales.</w:t>
      </w:r>
    </w:p>
    <w:p>
      <w:pPr>
        <w:spacing w:after="80"/>
        <w:ind w:left="283"/>
      </w:pPr>
      <w:r>
        <w:rPr>
          <w:b/>
          <w:sz w:val="21"/>
        </w:rPr>
        <w:t xml:space="preserve">[SECRETO]: </w:t>
      </w:r>
      <w:r>
        <w:rPr>
          <w:sz w:val="20"/>
        </w:rPr>
        <w:t>Información de máxima sensibilidad (datos sensibles, secretos comerciales). Acceso muy restringido.</w:t>
      </w:r>
    </w:p>
    <w:p>
      <w:pPr>
        <w:spacing w:before="360" w:after="120"/>
        <w:ind w:left="0"/>
        <w:pBdr>
          <w:bottom w:val="single" w:sz="6" w:space="4" w:color="1E4F72"/>
        </w:pBdr>
      </w:pPr>
      <w:r>
        <w:rPr>
          <w:b/>
          <w:color w:val="1E4F72"/>
          <w:sz w:val="30"/>
        </w:rPr>
        <w:t>10. CONTROL DE ACCESO</w:t>
      </w:r>
    </w:p>
    <w:p>
      <w:pPr>
        <w:spacing w:after="120"/>
        <w:ind w:left="0"/>
      </w:pPr>
      <w:r>
        <w:rPr>
          <w:sz w:val="21"/>
        </w:rPr>
        <w:t>El acceso a los sistemas e información de la Organización se rige por los siguientes principios:</w:t>
      </w:r>
    </w:p>
    <w:p>
      <w:pPr>
        <w:pStyle w:val="ListBullet"/>
        <w:spacing w:after="60"/>
        <w:ind w:left="283"/>
      </w:pPr>
      <w:r>
        <w:rPr>
          <w:sz w:val="20"/>
        </w:rPr>
        <w:t>Mínimo privilegio: cada usuario accede únicamente a lo estrictamente necesario para sus funciones.</w:t>
      </w:r>
    </w:p>
    <w:p>
      <w:pPr>
        <w:pStyle w:val="ListBullet"/>
        <w:spacing w:after="60"/>
        <w:ind w:left="283"/>
      </w:pPr>
      <w:r>
        <w:rPr>
          <w:sz w:val="20"/>
        </w:rPr>
        <w:t>Necesidad de conocer: el acceso a información confidencial se limita a quienes lo necesitan.</w:t>
      </w:r>
    </w:p>
    <w:p>
      <w:pPr>
        <w:pStyle w:val="ListBullet"/>
        <w:spacing w:after="60"/>
        <w:ind w:left="283"/>
      </w:pPr>
      <w:r>
        <w:rPr>
          <w:sz w:val="20"/>
        </w:rPr>
        <w:t>Autenticación multifactor (MFA): obligatoria para todos los sistemas que contengan datos personales o confidenciales.</w:t>
      </w:r>
    </w:p>
    <w:p>
      <w:pPr>
        <w:pStyle w:val="ListBullet"/>
        <w:spacing w:after="60"/>
        <w:ind w:left="283"/>
      </w:pPr>
      <w:r>
        <w:rPr>
          <w:sz w:val="20"/>
        </w:rPr>
        <w:t>Contraseñas seguras: mínimo 12 caracteres con combinación de mayúsculas, minúsculas, números y símbolos.</w:t>
      </w:r>
    </w:p>
    <w:p>
      <w:pPr>
        <w:pStyle w:val="ListBullet"/>
        <w:spacing w:after="60"/>
        <w:ind w:left="283"/>
      </w:pPr>
      <w:r>
        <w:rPr>
          <w:sz w:val="20"/>
        </w:rPr>
        <w:t>Revisión periódica: los accesos se revisan trimestralmente y se revocan al término de la relación laboral.</w:t>
      </w:r>
    </w:p>
    <w:p>
      <w:pPr>
        <w:pStyle w:val="ListBullet"/>
        <w:spacing w:after="60"/>
        <w:ind w:left="283"/>
      </w:pPr>
      <w:r>
        <w:rPr>
          <w:sz w:val="20"/>
        </w:rPr>
        <w:t>Cuentas privilegiadas: gestionadas mediante solución PAM con logging de sesiones completo.</w:t>
      </w:r>
    </w:p>
    <w:p>
      <w:pPr>
        <w:spacing w:before="360" w:after="120"/>
        <w:ind w:left="0"/>
        <w:pBdr>
          <w:bottom w:val="single" w:sz="6" w:space="4" w:color="1E4F72"/>
        </w:pBdr>
      </w:pPr>
      <w:r>
        <w:rPr>
          <w:b/>
          <w:color w:val="1E4F72"/>
          <w:sz w:val="30"/>
        </w:rPr>
        <w:t>11. SEGURIDAD EN RECURSOS HUMANOS</w:t>
      </w:r>
    </w:p>
    <w:p>
      <w:pPr>
        <w:pStyle w:val="ListBullet"/>
        <w:spacing w:after="60"/>
        <w:ind w:left="283"/>
      </w:pPr>
      <w:r>
        <w:rPr>
          <w:sz w:val="20"/>
        </w:rPr>
        <w:t>Verificación de antecedentes antes de la contratación, conforme a la legislación vigente.</w:t>
      </w:r>
    </w:p>
    <w:p>
      <w:pPr>
        <w:pStyle w:val="ListBullet"/>
        <w:spacing w:after="60"/>
        <w:ind w:left="283"/>
      </w:pPr>
      <w:r>
        <w:rPr>
          <w:sz w:val="20"/>
        </w:rPr>
        <w:t>Firma de acuerdos de confidencialidad (NDA) al inicio de la relación laboral o contractual.</w:t>
      </w:r>
    </w:p>
    <w:p>
      <w:pPr>
        <w:pStyle w:val="ListBullet"/>
        <w:spacing w:after="60"/>
        <w:ind w:left="283"/>
      </w:pPr>
      <w:r>
        <w:rPr>
          <w:sz w:val="20"/>
        </w:rPr>
        <w:t>Capacitación obligatoria en seguridad de la información al ingreso y con frecuencia mínima anual.</w:t>
      </w:r>
    </w:p>
    <w:p>
      <w:pPr>
        <w:pStyle w:val="ListBullet"/>
        <w:spacing w:after="60"/>
        <w:ind w:left="283"/>
      </w:pPr>
      <w:r>
        <w:rPr>
          <w:sz w:val="20"/>
        </w:rPr>
        <w:t>Proceso de offboarding formal con revocación inmediata de accesos y devolución de activos.</w:t>
      </w:r>
    </w:p>
    <w:p>
      <w:pPr>
        <w:pStyle w:val="ListBullet"/>
        <w:spacing w:after="60"/>
        <w:ind w:left="283"/>
      </w:pPr>
      <w:r>
        <w:rPr>
          <w:sz w:val="20"/>
        </w:rPr>
        <w:t>Programa de sensibilización continua, incluyendo simulacros de phishing semestrales.</w:t>
      </w:r>
    </w:p>
    <w:p>
      <w:pPr>
        <w:spacing w:before="360" w:after="120"/>
        <w:ind w:left="0"/>
        <w:pBdr>
          <w:bottom w:val="single" w:sz="6" w:space="4" w:color="1E4F72"/>
        </w:pBdr>
      </w:pPr>
      <w:r>
        <w:rPr>
          <w:b/>
          <w:color w:val="1E4F72"/>
          <w:sz w:val="30"/>
        </w:rPr>
        <w:t>12. SEGURIDAD FÍSICA Y DEL ENTORNO</w:t>
      </w:r>
    </w:p>
    <w:p>
      <w:pPr>
        <w:pStyle w:val="ListBullet"/>
        <w:spacing w:after="60"/>
        <w:ind w:left="283"/>
      </w:pPr>
      <w:r>
        <w:rPr>
          <w:sz w:val="20"/>
        </w:rPr>
        <w:t>Zonas seguras delimitadas con control de acceso físico (tarjeta, biométrico o equivalente).</w:t>
      </w:r>
    </w:p>
    <w:p>
      <w:pPr>
        <w:pStyle w:val="ListBullet"/>
        <w:spacing w:after="60"/>
        <w:ind w:left="283"/>
      </w:pPr>
      <w:r>
        <w:rPr>
          <w:sz w:val="20"/>
        </w:rPr>
        <w:t>CCTV en áreas críticas con retención mínima de 30 días.</w:t>
      </w:r>
    </w:p>
    <w:p>
      <w:pPr>
        <w:pStyle w:val="ListBullet"/>
        <w:spacing w:after="60"/>
        <w:ind w:left="283"/>
      </w:pPr>
      <w:r>
        <w:rPr>
          <w:sz w:val="20"/>
        </w:rPr>
        <w:t>Política de escritorio limpio: documentos y dispositivos guardados al ausentarse del puesto.</w:t>
      </w:r>
    </w:p>
    <w:p>
      <w:pPr>
        <w:pStyle w:val="ListBullet"/>
        <w:spacing w:after="60"/>
        <w:ind w:left="283"/>
      </w:pPr>
      <w:r>
        <w:rPr>
          <w:sz w:val="20"/>
        </w:rPr>
        <w:t>Pantalla limpia: bloqueo automático tras 5 minutos de inactividad.</w:t>
      </w:r>
    </w:p>
    <w:p>
      <w:pPr>
        <w:pStyle w:val="ListBullet"/>
        <w:spacing w:after="60"/>
        <w:ind w:left="283"/>
      </w:pPr>
      <w:r>
        <w:rPr>
          <w:sz w:val="20"/>
        </w:rPr>
        <w:t>Destrucción segura de medios: triturado para papel, borrado certificado para medios digitales.</w:t>
      </w:r>
    </w:p>
    <w:p>
      <w:pPr>
        <w:pStyle w:val="ListBullet"/>
        <w:spacing w:after="60"/>
        <w:ind w:left="283"/>
      </w:pPr>
      <w:r>
        <w:rPr>
          <w:sz w:val="20"/>
        </w:rPr>
        <w:t>Equipos portátiles: cifrado de disco completo obligatorio.</w:t>
      </w:r>
    </w:p>
    <w:p>
      <w:pPr>
        <w:spacing w:before="360" w:after="120"/>
        <w:ind w:left="0"/>
        <w:pBdr>
          <w:bottom w:val="single" w:sz="6" w:space="4" w:color="1E4F72"/>
        </w:pBdr>
      </w:pPr>
      <w:r>
        <w:rPr>
          <w:b/>
          <w:color w:val="1E4F72"/>
          <w:sz w:val="30"/>
        </w:rPr>
        <w:t>13. SEGURIDAD DE LAS OPERACIONES</w:t>
      </w:r>
    </w:p>
    <w:p>
      <w:pPr>
        <w:pStyle w:val="ListBullet"/>
        <w:spacing w:after="60"/>
        <w:ind w:left="283"/>
      </w:pPr>
      <w:r>
        <w:rPr>
          <w:sz w:val="20"/>
        </w:rPr>
        <w:t>Gestión de cambios formal con evaluación de impacto en seguridad antes de toda implementación.</w:t>
      </w:r>
    </w:p>
    <w:p>
      <w:pPr>
        <w:pStyle w:val="ListBullet"/>
        <w:spacing w:after="60"/>
        <w:ind w:left="283"/>
      </w:pPr>
      <w:r>
        <w:rPr>
          <w:sz w:val="20"/>
        </w:rPr>
        <w:t>Gestión de vulnerabilidades: scans mensuales, parches críticos en máximo 15 días hábiles.</w:t>
      </w:r>
    </w:p>
    <w:p>
      <w:pPr>
        <w:pStyle w:val="ListBullet"/>
        <w:spacing w:after="60"/>
        <w:ind w:left="283"/>
      </w:pPr>
      <w:r>
        <w:rPr>
          <w:sz w:val="20"/>
        </w:rPr>
        <w:t>Protección contra malware: antivirus/EDR con actualizaciones automáticas en todos los endpoints.</w:t>
      </w:r>
    </w:p>
    <w:p>
      <w:pPr>
        <w:pStyle w:val="ListBullet"/>
        <w:spacing w:after="60"/>
        <w:ind w:left="283"/>
      </w:pPr>
      <w:r>
        <w:rPr>
          <w:sz w:val="20"/>
        </w:rPr>
        <w:t>Registros de auditoría (logs) retenidos mínimo 12 meses, con acceso restringido.</w:t>
      </w:r>
    </w:p>
    <w:p>
      <w:pPr>
        <w:pStyle w:val="ListBullet"/>
        <w:spacing w:after="60"/>
        <w:ind w:left="283"/>
      </w:pPr>
      <w:r>
        <w:rPr>
          <w:sz w:val="20"/>
        </w:rPr>
        <w:t>Backups cifrados con pruebas de restauración documentadas mínimo una vez al mes.</w:t>
      </w:r>
    </w:p>
    <w:p>
      <w:pPr>
        <w:pStyle w:val="ListBullet"/>
        <w:spacing w:after="60"/>
        <w:ind w:left="283"/>
      </w:pPr>
      <w:r>
        <w:rPr>
          <w:sz w:val="20"/>
        </w:rPr>
        <w:t>Separación de entornos: desarrollo, pruebas y producción estrictamente separados.</w:t>
      </w:r>
    </w:p>
    <w:p>
      <w:pPr>
        <w:spacing w:before="360" w:after="120"/>
        <w:ind w:left="0"/>
        <w:pBdr>
          <w:bottom w:val="single" w:sz="6" w:space="4" w:color="1E4F72"/>
        </w:pBdr>
      </w:pPr>
      <w:r>
        <w:rPr>
          <w:b/>
          <w:color w:val="1E4F72"/>
          <w:sz w:val="30"/>
        </w:rPr>
        <w:t>14. SEGURIDAD EN LAS COMUNICACIONES</w:t>
      </w:r>
    </w:p>
    <w:p>
      <w:pPr>
        <w:pStyle w:val="ListBullet"/>
        <w:spacing w:after="60"/>
        <w:ind w:left="283"/>
      </w:pPr>
      <w:r>
        <w:rPr>
          <w:sz w:val="20"/>
        </w:rPr>
        <w:t>Cifrado TLS 1.2 o superior en todas las comunicaciones externas de la organización.</w:t>
      </w:r>
    </w:p>
    <w:p>
      <w:pPr>
        <w:pStyle w:val="ListBullet"/>
        <w:spacing w:after="60"/>
        <w:ind w:left="283"/>
      </w:pPr>
      <w:r>
        <w:rPr>
          <w:sz w:val="20"/>
        </w:rPr>
        <w:t>VPN obligatoria para accesos remotos a sistemas internos.</w:t>
      </w:r>
    </w:p>
    <w:p>
      <w:pPr>
        <w:pStyle w:val="ListBullet"/>
        <w:spacing w:after="60"/>
        <w:ind w:left="283"/>
      </w:pPr>
      <w:r>
        <w:rPr>
          <w:sz w:val="20"/>
        </w:rPr>
        <w:t>Segmentación de red: VLANs diferenciadas por nivel de sensibilidad.</w:t>
      </w:r>
    </w:p>
    <w:p>
      <w:pPr>
        <w:pStyle w:val="ListBullet"/>
        <w:spacing w:after="60"/>
        <w:ind w:left="283"/>
      </w:pPr>
      <w:r>
        <w:rPr>
          <w:sz w:val="20"/>
        </w:rPr>
        <w:t>Filtrado web con categorías de riesgo bloqueadas.</w:t>
      </w:r>
    </w:p>
    <w:p>
      <w:pPr>
        <w:pStyle w:val="ListBullet"/>
        <w:spacing w:after="60"/>
        <w:ind w:left="283"/>
      </w:pPr>
      <w:r>
        <w:rPr>
          <w:sz w:val="20"/>
        </w:rPr>
        <w:t>Acuerdos de confidencialidad antes de compartir información con terceros.</w:t>
      </w:r>
    </w:p>
    <w:p>
      <w:pPr>
        <w:pStyle w:val="ListBullet"/>
        <w:spacing w:after="60"/>
        <w:ind w:left="283"/>
      </w:pPr>
      <w:r>
        <w:rPr>
          <w:sz w:val="20"/>
        </w:rPr>
        <w:t>Transferencias internacionales de datos solo con garantías contractuales conforme Art. 25 Ley 21.719.</w:t>
      </w:r>
    </w:p>
    <w:p>
      <w:pPr>
        <w:spacing w:before="360" w:after="120"/>
        <w:ind w:left="0"/>
        <w:pBdr>
          <w:bottom w:val="single" w:sz="6" w:space="4" w:color="1E4F72"/>
        </w:pBdr>
      </w:pPr>
      <w:r>
        <w:rPr>
          <w:b/>
          <w:color w:val="1E4F72"/>
          <w:sz w:val="30"/>
        </w:rPr>
        <w:t>15. GESTIÓN DE INCIDENTES DE SEGURIDAD</w:t>
      </w:r>
    </w:p>
    <w:p>
      <w:pPr>
        <w:spacing w:after="120"/>
        <w:ind w:left="0"/>
      </w:pPr>
      <w:r>
        <w:rPr>
          <w:sz w:val="21"/>
        </w:rPr>
        <w:t>La Organización mantiene un Protocolo de Respuesta a Incidentes (IRP) que garantiza:</w:t>
      </w:r>
    </w:p>
    <w:p>
      <w:pPr>
        <w:pStyle w:val="ListBullet"/>
        <w:spacing w:after="60"/>
        <w:ind w:left="283"/>
      </w:pPr>
      <w:r>
        <w:rPr>
          <w:sz w:val="20"/>
        </w:rPr>
        <w:t>Canal de reporte de incidentes accesible 24/7 para todos los empleados.</w:t>
      </w:r>
    </w:p>
    <w:p>
      <w:pPr>
        <w:pStyle w:val="ListBullet"/>
        <w:spacing w:after="60"/>
        <w:ind w:left="283"/>
      </w:pPr>
      <w:r>
        <w:rPr>
          <w:sz w:val="20"/>
        </w:rPr>
        <w:t>Clasificación de severidad: Bajo / Medio / Alto / Crítico.</w:t>
      </w:r>
    </w:p>
    <w:p>
      <w:pPr>
        <w:pStyle w:val="ListBullet"/>
        <w:spacing w:after="60"/>
        <w:ind w:left="283"/>
      </w:pPr>
      <w:r>
        <w:rPr>
          <w:sz w:val="20"/>
        </w:rPr>
        <w:t>Tiempos de respuesta definidos según severidad.</w:t>
      </w:r>
    </w:p>
    <w:p>
      <w:pPr>
        <w:pStyle w:val="ListBullet"/>
        <w:spacing w:after="60"/>
        <w:ind w:left="283"/>
      </w:pPr>
      <w:r>
        <w:rPr>
          <w:sz w:val="20"/>
        </w:rPr>
        <w:t>Notificación al CPLT dentro de las 72 horas cuando se afecten datos personales (Art. 26 Ley 21.719).</w:t>
      </w:r>
    </w:p>
    <w:p>
      <w:pPr>
        <w:pStyle w:val="ListBullet"/>
        <w:spacing w:after="60"/>
        <w:ind w:left="283"/>
      </w:pPr>
      <w:r>
        <w:rPr>
          <w:sz w:val="20"/>
        </w:rPr>
        <w:t>Notificación a titulares sin dilación cuando exista riesgo elevado para ellos.</w:t>
      </w:r>
    </w:p>
    <w:p>
      <w:pPr>
        <w:pStyle w:val="ListBullet"/>
        <w:spacing w:after="60"/>
        <w:ind w:left="283"/>
      </w:pPr>
      <w:r>
        <w:rPr>
          <w:sz w:val="20"/>
        </w:rPr>
        <w:t>Documentación obligatoria: causa raíz, impacto, acciones correctivas y lecciones aprendidas.</w:t>
      </w:r>
    </w:p>
    <w:p>
      <w:pPr>
        <w:pStyle w:val="ListBullet"/>
        <w:spacing w:after="60"/>
        <w:ind w:left="283"/>
      </w:pPr>
      <w:r>
        <w:rPr>
          <w:sz w:val="20"/>
        </w:rPr>
        <w:t>Simulacros de respuesta a incidentes al menos una vez al año.</w:t>
      </w:r>
    </w:p>
    <w:p>
      <w:pPr>
        <w:spacing w:before="120" w:after="120"/>
        <w:ind w:left="283"/>
        <w:shd w:val="clear" w:color="auto" w:fill="D6EAF8"/>
      </w:pPr>
      <w:r>
        <w:rPr>
          <w:i/>
          <w:color w:val="2980B9"/>
          <w:sz w:val="19"/>
        </w:rPr>
        <w:t>📌 La obligación de notificar al CPLT existe desde el momento en que el RESPONSABLE toma conocimiento del incidente, independientemente de si fue contenido o no.</w:t>
      </w:r>
    </w:p>
    <w:p>
      <w:pPr>
        <w:spacing w:before="360" w:after="120"/>
        <w:ind w:left="0"/>
        <w:pBdr>
          <w:bottom w:val="single" w:sz="6" w:space="4" w:color="1E4F72"/>
        </w:pBdr>
      </w:pPr>
      <w:r>
        <w:rPr>
          <w:b/>
          <w:color w:val="1E4F72"/>
          <w:sz w:val="30"/>
        </w:rPr>
        <w:t>16. CONTINUIDAD DEL NEGOCIO</w:t>
      </w:r>
    </w:p>
    <w:p>
      <w:pPr>
        <w:pStyle w:val="ListBullet"/>
        <w:spacing w:after="60"/>
        <w:ind w:left="283"/>
      </w:pPr>
      <w:r>
        <w:rPr>
          <w:sz w:val="20"/>
        </w:rPr>
        <w:t>Plan de Continuidad del Negocio (BCP) y Plan de Recuperación ante Desastres (DRP) documentados.</w:t>
      </w:r>
    </w:p>
    <w:p>
      <w:pPr>
        <w:pStyle w:val="ListBullet"/>
        <w:spacing w:after="60"/>
        <w:ind w:left="283"/>
      </w:pPr>
      <w:r>
        <w:rPr>
          <w:sz w:val="20"/>
        </w:rPr>
        <w:t>RTO (Recovery Time Objective) y RPO (Recovery Point Objective) definidos para sistemas críticos.</w:t>
      </w:r>
    </w:p>
    <w:p>
      <w:pPr>
        <w:pStyle w:val="ListBullet"/>
        <w:spacing w:after="60"/>
        <w:ind w:left="283"/>
      </w:pPr>
      <w:r>
        <w:rPr>
          <w:sz w:val="20"/>
        </w:rPr>
        <w:t>Pruebas de continuidad al menos una vez al año con resultados documentados.</w:t>
      </w:r>
    </w:p>
    <w:p>
      <w:pPr>
        <w:pStyle w:val="ListBullet"/>
        <w:spacing w:after="60"/>
        <w:ind w:left="283"/>
      </w:pPr>
      <w:r>
        <w:rPr>
          <w:sz w:val="20"/>
        </w:rPr>
        <w:t>Backups geográficamente distribuidos con cifrado AES-256.</w:t>
      </w:r>
    </w:p>
    <w:p>
      <w:pPr>
        <w:pStyle w:val="ListBullet"/>
        <w:spacing w:after="60"/>
        <w:ind w:left="283"/>
      </w:pPr>
      <w:r>
        <w:rPr>
          <w:sz w:val="20"/>
        </w:rPr>
        <w:t>Procedimientos de operación alternativos ante indisponibilidad de sistemas.</w:t>
      </w:r>
    </w:p>
    <w:p>
      <w:pPr>
        <w:spacing w:before="360" w:after="120"/>
        <w:ind w:left="0"/>
        <w:pBdr>
          <w:bottom w:val="single" w:sz="6" w:space="4" w:color="1E4F72"/>
        </w:pBdr>
      </w:pPr>
      <w:r>
        <w:rPr>
          <w:b/>
          <w:color w:val="1E4F72"/>
          <w:sz w:val="30"/>
        </w:rPr>
        <w:t>17. CUMPLIMIENTO LEGAL — LEY N° 21.719</w:t>
      </w:r>
    </w:p>
    <w:p>
      <w:pPr>
        <w:spacing w:after="120"/>
        <w:ind w:left="0"/>
      </w:pPr>
      <w:r>
        <w:rPr>
          <w:sz w:val="21"/>
        </w:rPr>
        <w:t>La Organización trata datos personales como responsable del tratamiento y garantiza el cumplimiento de la Ley 21.719 mediante las siguientes medidas:</w:t>
      </w:r>
    </w:p>
    <w:p>
      <w:pPr>
        <w:spacing w:before="240" w:after="80"/>
      </w:pPr>
      <w:r>
        <w:rPr>
          <w:b/>
          <w:color w:val="2980B9"/>
          <w:sz w:val="24"/>
        </w:rPr>
        <w:t>17.1 Bases Legales</w:t>
      </w:r>
    </w:p>
    <w:p>
      <w:pPr>
        <w:spacing w:after="120"/>
        <w:ind w:left="0"/>
      </w:pPr>
      <w:r>
        <w:rPr>
          <w:sz w:val="21"/>
        </w:rPr>
        <w:t>Todo tratamiento de datos personales cuenta con al menos una base legal establecida en el Art. 13 de la Ley 21.719 (consentimiento, contrato, obligación legal, interés legítimo, entre otras).</w:t>
      </w:r>
    </w:p>
    <w:p>
      <w:pPr>
        <w:spacing w:before="240" w:after="80"/>
      </w:pPr>
      <w:r>
        <w:rPr>
          <w:b/>
          <w:color w:val="2980B9"/>
          <w:sz w:val="24"/>
        </w:rPr>
        <w:t>17.2 Registro de Actividades de Tratamiento (RAT)</w:t>
      </w:r>
    </w:p>
    <w:p>
      <w:pPr>
        <w:spacing w:after="120"/>
        <w:ind w:left="0"/>
      </w:pPr>
      <w:r>
        <w:rPr>
          <w:sz w:val="21"/>
        </w:rPr>
        <w:t>Se mantiene un RAT actualizado conforme al Art. 14 bis, identificando finalidades, bases legales, categorías de datos, destinatarios, plazos de conservación y medidas de seguridad.</w:t>
      </w:r>
    </w:p>
    <w:p>
      <w:pPr>
        <w:spacing w:before="240" w:after="80"/>
      </w:pPr>
      <w:r>
        <w:rPr>
          <w:b/>
          <w:color w:val="2980B9"/>
          <w:sz w:val="24"/>
        </w:rPr>
        <w:t>17.3 Derechos de los Titulares (ARCOP)</w:t>
      </w:r>
    </w:p>
    <w:p>
      <w:pPr>
        <w:spacing w:after="120"/>
        <w:ind w:left="0"/>
      </w:pPr>
      <w:r>
        <w:rPr>
          <w:sz w:val="21"/>
        </w:rPr>
        <w:t>Se garantiza el ejercicio de los derechos de Acceso, Rectificación, Cancelación, Oposición y Portabilidad. El plazo de respuesta es de 30 días corridos, extensible por 15 días adicionales con justificación.</w:t>
      </w:r>
    </w:p>
    <w:p>
      <w:pPr>
        <w:spacing w:before="240" w:after="80"/>
      </w:pPr>
      <w:r>
        <w:rPr>
          <w:b/>
          <w:color w:val="2980B9"/>
          <w:sz w:val="24"/>
        </w:rPr>
        <w:t>17.4 Evaluaciones de Impacto (EIPD)</w:t>
      </w:r>
    </w:p>
    <w:p>
      <w:pPr>
        <w:spacing w:after="120"/>
        <w:ind w:left="0"/>
      </w:pPr>
      <w:r>
        <w:rPr>
          <w:sz w:val="21"/>
        </w:rPr>
        <w:t>Se realizan Evaluaciones de Impacto en la Protección de Datos (EIPD/DPIA) para tratamientos de alto riesgo, conforme al Art. 15 ter.</w:t>
      </w:r>
    </w:p>
    <w:p>
      <w:pPr>
        <w:spacing w:before="240" w:after="80"/>
      </w:pPr>
      <w:r>
        <w:rPr>
          <w:b/>
          <w:color w:val="2980B9"/>
          <w:sz w:val="24"/>
        </w:rPr>
        <w:t>17.5 Notificación de Vulneraciones</w:t>
      </w:r>
    </w:p>
    <w:p>
      <w:pPr>
        <w:spacing w:after="120"/>
        <w:ind w:left="0"/>
      </w:pPr>
      <w:r>
        <w:rPr>
          <w:sz w:val="21"/>
        </w:rPr>
        <w:t>Las vulneraciones de seguridad que afecten datos personales se notifican al CPLT en un plazo máximo de 72 horas desde que el responsable toma conocimiento (Art. 26).</w:t>
      </w:r>
    </w:p>
    <w:p>
      <w:pPr>
        <w:spacing w:before="240" w:after="80"/>
      </w:pPr>
      <w:r>
        <w:rPr>
          <w:b/>
          <w:color w:val="2980B9"/>
          <w:sz w:val="24"/>
        </w:rPr>
        <w:t>17.6 Transferencias Internacionales</w:t>
      </w:r>
    </w:p>
    <w:p>
      <w:pPr>
        <w:spacing w:after="120"/>
        <w:ind w:left="0"/>
      </w:pPr>
      <w:r>
        <w:rPr>
          <w:sz w:val="21"/>
        </w:rPr>
        <w:t>Las transferencias internacionales de datos se realizan únicamente a países con nivel adecuado de protección o mediante garantías contractuales equivalentes, conforme al Art. 25.</w:t>
      </w:r>
    </w:p>
    <w:p>
      <w:pPr>
        <w:spacing w:before="360" w:after="120"/>
        <w:ind w:left="0"/>
        <w:pBdr>
          <w:bottom w:val="single" w:sz="6" w:space="4" w:color="1E4F72"/>
        </w:pBdr>
      </w:pPr>
      <w:r>
        <w:rPr>
          <w:b/>
          <w:color w:val="1E4F72"/>
          <w:sz w:val="30"/>
        </w:rPr>
        <w:t>18. SANCIONES POR INCUMPLIMIENTO</w:t>
      </w:r>
    </w:p>
    <w:p>
      <w:pPr>
        <w:spacing w:after="120"/>
        <w:ind w:left="0"/>
      </w:pPr>
      <w:r>
        <w:rPr>
          <w:sz w:val="21"/>
        </w:rPr>
        <w:t>El incumplimiento de esta política puede derivar en:</w:t>
      </w:r>
    </w:p>
    <w:p>
      <w:pPr>
        <w:pStyle w:val="ListBullet"/>
        <w:spacing w:after="60"/>
        <w:ind w:left="283"/>
      </w:pPr>
      <w:r>
        <w:rPr>
          <w:sz w:val="20"/>
        </w:rPr>
        <w:t>Medidas disciplinarias internas, que pueden incluir amonestación, suspensión o término del contrato.</w:t>
      </w:r>
    </w:p>
    <w:p>
      <w:pPr>
        <w:pStyle w:val="ListBullet"/>
        <w:spacing w:after="60"/>
        <w:ind w:left="283"/>
      </w:pPr>
      <w:r>
        <w:rPr>
          <w:sz w:val="20"/>
        </w:rPr>
        <w:t>Responsabilidad civil por daños y perjuicios causados a terceros.</w:t>
      </w:r>
    </w:p>
    <w:p>
      <w:pPr>
        <w:pStyle w:val="ListBullet"/>
        <w:spacing w:after="60"/>
        <w:ind w:left="283"/>
      </w:pPr>
      <w:r>
        <w:rPr>
          <w:sz w:val="20"/>
        </w:rPr>
        <w:t>Sanciones regulatorias por parte del CPLT de hasta 5.000 UTM por infracciones a la Ley 21.719.</w:t>
      </w:r>
    </w:p>
    <w:p>
      <w:pPr>
        <w:pStyle w:val="ListBullet"/>
        <w:spacing w:after="60"/>
        <w:ind w:left="283"/>
      </w:pPr>
      <w:r>
        <w:rPr>
          <w:sz w:val="20"/>
        </w:rPr>
        <w:t>Sanciones penales en caso de delitos informáticos conforme a la Ley N° 21.459.</w:t>
      </w:r>
    </w:p>
    <w:p>
      <w:pPr>
        <w:pStyle w:val="ListBullet"/>
        <w:spacing w:after="60"/>
        <w:ind w:left="283"/>
      </w:pPr>
      <w:r>
        <w:rPr>
          <w:sz w:val="20"/>
        </w:rPr>
        <w:t>Inhabilitación para ejercer cargos de confianza en el ámbito de la seguridad de la información.</w:t>
      </w:r>
    </w:p>
    <w:p>
      <w:pPr>
        <w:spacing w:before="360" w:after="120"/>
        <w:ind w:left="0"/>
        <w:pBdr>
          <w:bottom w:val="single" w:sz="6" w:space="4" w:color="1E4F72"/>
        </w:pBdr>
      </w:pPr>
      <w:r>
        <w:rPr>
          <w:b/>
          <w:color w:val="1E4F72"/>
          <w:sz w:val="30"/>
        </w:rPr>
        <w:t>19. REVISIÓN Y ACTUALIZACIÓN</w:t>
      </w:r>
    </w:p>
    <w:p>
      <w:pPr>
        <w:spacing w:after="120"/>
        <w:ind w:left="0"/>
      </w:pPr>
      <w:r>
        <w:rPr>
          <w:sz w:val="21"/>
        </w:rPr>
        <w:t>Esta política es revisada:</w:t>
      </w:r>
    </w:p>
    <w:p>
      <w:pPr>
        <w:pStyle w:val="ListBullet"/>
        <w:spacing w:after="60"/>
        <w:ind w:left="283"/>
      </w:pPr>
      <w:r>
        <w:rPr>
          <w:sz w:val="20"/>
        </w:rPr>
        <w:t>Al menos una vez al año, en la revisión anual del SGSI.</w:t>
      </w:r>
    </w:p>
    <w:p>
      <w:pPr>
        <w:pStyle w:val="ListBullet"/>
        <w:spacing w:after="60"/>
        <w:ind w:left="283"/>
      </w:pPr>
      <w:r>
        <w:rPr>
          <w:sz w:val="20"/>
        </w:rPr>
        <w:t>Ante cambios significativos en el contexto organizacional (nueva normativa, adquisiciones, incidentes graves).</w:t>
      </w:r>
    </w:p>
    <w:p>
      <w:pPr>
        <w:pStyle w:val="ListBullet"/>
        <w:spacing w:after="60"/>
        <w:ind w:left="283"/>
      </w:pPr>
      <w:r>
        <w:rPr>
          <w:sz w:val="20"/>
        </w:rPr>
        <w:t>Cuando los resultados de auditorías o evaluaciones de riesgo así lo requieran.</w:t>
      </w:r>
    </w:p>
    <w:p>
      <w:pPr>
        <w:spacing w:after="120"/>
        <w:ind w:left="0"/>
      </w:pPr>
      <w:r>
        <w:rPr>
          <w:sz w:val="21"/>
        </w:rPr>
        <w:t>Las actualizaciones son aprobadas por la alta dirección antes de su publicación y comunicadas a todo el personal.</w:t>
      </w:r>
    </w:p>
    <w:p>
      <w:pPr>
        <w:spacing w:before="360" w:after="120"/>
        <w:ind w:left="0"/>
        <w:pBdr>
          <w:bottom w:val="single" w:sz="6" w:space="4" w:color="1E4F72"/>
        </w:pBdr>
      </w:pPr>
      <w:r>
        <w:rPr>
          <w:b/>
          <w:color w:val="1E4F72"/>
          <w:sz w:val="30"/>
        </w:rPr>
        <w:t>20. HISTORIAL DE VERSIONES</w:t>
      </w:r>
    </w:p>
    <w:tbl>
      <w:tblPr>
        <w:tblStyle w:val="TableGrid"/>
        <w:tblW w:type="auto" w:w="0"/>
        <w:jc w:val="left"/>
        <w:tblLook w:firstColumn="1" w:firstRow="1" w:lastColumn="0" w:lastRow="0" w:noHBand="0" w:noVBand="1" w:val="04A0"/>
      </w:tblPr>
      <w:tblGrid>
        <w:gridCol w:w="2280"/>
        <w:gridCol w:w="2280"/>
        <w:gridCol w:w="2280"/>
        <w:gridCol w:w="2280"/>
      </w:tblGrid>
      <w:tr>
        <w:tc>
          <w:tcPr>
            <w:tcW w:type="dxa" w:w="2280"/>
            <w:shd w:val="clear" w:color="auto" w:fill="D6EAF8"/>
          </w:tcPr>
          <w:p>
            <w:r>
              <w:rPr>
                <w:b/>
                <w:sz w:val="20"/>
              </w:rPr>
              <w:t>Versión</w:t>
            </w:r>
          </w:p>
        </w:tc>
        <w:tc>
          <w:tcPr>
            <w:tcW w:type="dxa" w:w="2280"/>
            <w:shd w:val="clear" w:color="auto" w:fill="D6EAF8"/>
          </w:tcPr>
          <w:p>
            <w:r>
              <w:rPr>
                <w:b/>
                <w:sz w:val="20"/>
              </w:rPr>
              <w:t>Fecha</w:t>
            </w:r>
          </w:p>
        </w:tc>
        <w:tc>
          <w:tcPr>
            <w:tcW w:type="dxa" w:w="2280"/>
            <w:shd w:val="clear" w:color="auto" w:fill="D6EAF8"/>
          </w:tcPr>
          <w:p>
            <w:r>
              <w:rPr>
                <w:b/>
                <w:sz w:val="20"/>
              </w:rPr>
              <w:t>Autor</w:t>
            </w:r>
          </w:p>
        </w:tc>
        <w:tc>
          <w:tcPr>
            <w:tcW w:type="dxa" w:w="2280"/>
            <w:shd w:val="clear" w:color="auto" w:fill="D6EAF8"/>
          </w:tcPr>
          <w:p>
            <w:r>
              <w:rPr>
                <w:b/>
                <w:sz w:val="20"/>
              </w:rPr>
              <w:t>Descripción del Cambio</w:t>
            </w:r>
          </w:p>
        </w:tc>
      </w:tr>
      <w:tr>
        <w:tc>
          <w:tcPr>
            <w:tcW w:type="dxa" w:w="2280"/>
          </w:tcPr>
          <w:p>
            <w:r>
              <w:rPr>
                <w:sz w:val="20"/>
              </w:rPr>
              <w:t>1.0</w:t>
            </w:r>
          </w:p>
        </w:tc>
        <w:tc>
          <w:tcPr>
            <w:tcW w:type="dxa" w:w="2280"/>
          </w:tcPr>
          <w:p>
            <w:r>
              <w:rPr>
                <w:sz w:val="20"/>
              </w:rPr>
              <w:t>[Fecha aprobación]</w:t>
            </w:r>
          </w:p>
        </w:tc>
        <w:tc>
          <w:tcPr>
            <w:tcW w:type="dxa" w:w="2280"/>
          </w:tcPr>
          <w:p>
            <w:r>
              <w:rPr>
                <w:sz w:val="20"/>
              </w:rPr>
              <w:t>[Nombre del autor]</w:t>
            </w:r>
          </w:p>
        </w:tc>
        <w:tc>
          <w:tcPr>
            <w:tcW w:type="dxa" w:w="2280"/>
          </w:tcPr>
          <w:p>
            <w:r>
              <w:rPr>
                <w:sz w:val="20"/>
              </w:rPr>
              <w:t>Versión inicial del documento</w:t>
            </w:r>
          </w:p>
        </w:tc>
      </w:tr>
    </w:tbl>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